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64E2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55AEF40A" w14:textId="77777777" w:rsidR="008B7938" w:rsidRPr="00AE4043" w:rsidRDefault="008B7938" w:rsidP="00AE4043">
      <w:pPr>
        <w:spacing w:after="100" w:afterAutospacing="1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AE4043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                    </w:t>
      </w:r>
    </w:p>
    <w:p w14:paraId="33D4F77B" w14:textId="77777777" w:rsidR="00BB7659" w:rsidRPr="00AE4043" w:rsidRDefault="00BB7659" w:rsidP="00AE4043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E404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C26E6FA" w14:textId="77777777" w:rsidR="00BB7659" w:rsidRPr="00AE4043" w:rsidRDefault="00BB7659" w:rsidP="00AE404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E4043">
        <w:rPr>
          <w:rFonts w:ascii="Times New Roman" w:hAnsi="Times New Roman" w:cs="Times New Roman"/>
          <w:b/>
          <w:sz w:val="24"/>
          <w:szCs w:val="24"/>
        </w:rPr>
        <w:t>MINISTARSTVO VANJSKIH I EUROPSKIH POSLOVA</w:t>
      </w:r>
    </w:p>
    <w:p w14:paraId="4B77CEA0" w14:textId="77777777" w:rsidR="00BB7659" w:rsidRPr="00AE4043" w:rsidRDefault="00BB7659" w:rsidP="00AE404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E3EA6BE" w14:textId="77777777" w:rsidR="00BB7659" w:rsidRPr="00AE4043" w:rsidRDefault="00BB7659" w:rsidP="00AE4043">
      <w:pPr>
        <w:spacing w:after="0" w:line="240" w:lineRule="auto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AE404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48F9FF6" w14:textId="77777777" w:rsidR="00ED572E" w:rsidRPr="00AE4043" w:rsidRDefault="00ED572E" w:rsidP="00AE4043">
      <w:pPr>
        <w:pStyle w:val="Subtitle"/>
        <w:spacing w:before="0" w:after="12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4F89183" w14:textId="77777777" w:rsidR="00ED572E" w:rsidRPr="00AE4043" w:rsidRDefault="00ED572E" w:rsidP="00AE4043">
      <w:pPr>
        <w:pStyle w:val="Subtitle"/>
        <w:spacing w:before="0" w:after="12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F30CB4" w14:textId="77777777" w:rsidR="00ED572E" w:rsidRPr="00AE4043" w:rsidRDefault="00ED572E" w:rsidP="00AE4043">
      <w:pPr>
        <w:pStyle w:val="Subtitle"/>
        <w:spacing w:before="0" w:after="12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3B457B" w14:textId="77777777" w:rsidR="009F6B62" w:rsidRPr="00AE4043" w:rsidRDefault="009F6B62" w:rsidP="00AE4043">
      <w:pPr>
        <w:pStyle w:val="Subtitle"/>
        <w:spacing w:before="0" w:after="24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E575B2" w14:textId="77777777" w:rsidR="00ED572E" w:rsidRPr="00E63E44" w:rsidRDefault="00BB7659" w:rsidP="00AE4043">
      <w:pPr>
        <w:pStyle w:val="Subtitle"/>
        <w:spacing w:before="0" w:after="24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63E44">
        <w:rPr>
          <w:rFonts w:ascii="Times New Roman" w:hAnsi="Times New Roman" w:cs="Times New Roman"/>
          <w:b/>
          <w:color w:val="auto"/>
          <w:sz w:val="32"/>
          <w:szCs w:val="32"/>
        </w:rPr>
        <w:t>GODIŠNJE IZVJEŠĆE</w:t>
      </w:r>
    </w:p>
    <w:p w14:paraId="2EE10ACD" w14:textId="77777777" w:rsidR="00ED572E" w:rsidRPr="00E63E44" w:rsidRDefault="00BB7659" w:rsidP="00AE4043">
      <w:pPr>
        <w:pStyle w:val="Subtitle"/>
        <w:spacing w:before="0" w:after="24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63E44">
        <w:rPr>
          <w:rFonts w:ascii="Times New Roman" w:hAnsi="Times New Roman" w:cs="Times New Roman"/>
          <w:b/>
          <w:color w:val="auto"/>
          <w:sz w:val="32"/>
          <w:szCs w:val="32"/>
        </w:rPr>
        <w:t xml:space="preserve">O IZVOZU ROBE S DVOJNOM </w:t>
      </w:r>
    </w:p>
    <w:p w14:paraId="0A682BD9" w14:textId="77777777" w:rsidR="00BB7659" w:rsidRPr="00E63E44" w:rsidRDefault="00BB7659" w:rsidP="00AE4043">
      <w:pPr>
        <w:pStyle w:val="Subtitle"/>
        <w:spacing w:before="0" w:after="240"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63E44">
        <w:rPr>
          <w:rFonts w:ascii="Times New Roman" w:hAnsi="Times New Roman" w:cs="Times New Roman"/>
          <w:b/>
          <w:color w:val="auto"/>
          <w:sz w:val="32"/>
          <w:szCs w:val="32"/>
        </w:rPr>
        <w:t>nAMJENOM U 2022. GODINI</w:t>
      </w:r>
    </w:p>
    <w:p w14:paraId="5966E159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5ADFF20A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5C555A40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51742350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6F7B9AA3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73E8529A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32B5D3A9" w14:textId="77777777" w:rsidR="00984707" w:rsidRPr="00AE4043" w:rsidRDefault="00ED572E" w:rsidP="00AE4043">
      <w:pPr>
        <w:rPr>
          <w:rFonts w:ascii="Times New Roman" w:hAnsi="Times New Roman" w:cs="Times New Roman"/>
          <w:sz w:val="24"/>
          <w:szCs w:val="24"/>
        </w:rPr>
      </w:pPr>
      <w:r w:rsidRPr="00AE4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0485BBA9" w14:textId="77777777" w:rsidR="00984707" w:rsidRPr="00AE4043" w:rsidRDefault="00984707" w:rsidP="00AE4043">
      <w:pPr>
        <w:rPr>
          <w:rFonts w:ascii="Times New Roman" w:hAnsi="Times New Roman" w:cs="Times New Roman"/>
          <w:sz w:val="24"/>
          <w:szCs w:val="24"/>
        </w:rPr>
      </w:pPr>
    </w:p>
    <w:p w14:paraId="197CFDE4" w14:textId="77777777" w:rsidR="00984707" w:rsidRPr="00AE4043" w:rsidRDefault="00984707" w:rsidP="00AE4043">
      <w:pPr>
        <w:rPr>
          <w:rFonts w:ascii="Times New Roman" w:hAnsi="Times New Roman" w:cs="Times New Roman"/>
          <w:sz w:val="24"/>
          <w:szCs w:val="24"/>
        </w:rPr>
      </w:pPr>
    </w:p>
    <w:p w14:paraId="6B24CFD8" w14:textId="77777777" w:rsidR="00984707" w:rsidRPr="00AE4043" w:rsidRDefault="00984707" w:rsidP="00AE4043">
      <w:pPr>
        <w:rPr>
          <w:rFonts w:ascii="Times New Roman" w:hAnsi="Times New Roman" w:cs="Times New Roman"/>
          <w:sz w:val="24"/>
          <w:szCs w:val="24"/>
        </w:rPr>
      </w:pPr>
    </w:p>
    <w:p w14:paraId="7E467E43" w14:textId="77777777" w:rsidR="00ED572E" w:rsidRPr="00AE4043" w:rsidRDefault="00ED572E" w:rsidP="00F36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043">
        <w:rPr>
          <w:rFonts w:ascii="Times New Roman" w:hAnsi="Times New Roman" w:cs="Times New Roman"/>
          <w:sz w:val="24"/>
          <w:szCs w:val="24"/>
        </w:rPr>
        <w:t>Zagreb, travanj, 2023.</w:t>
      </w:r>
    </w:p>
    <w:p w14:paraId="7166C6A6" w14:textId="77777777" w:rsidR="00BB7659" w:rsidRPr="00AE4043" w:rsidRDefault="00BB7659" w:rsidP="00AE4043">
      <w:pPr>
        <w:rPr>
          <w:rFonts w:ascii="Times New Roman" w:hAnsi="Times New Roman" w:cs="Times New Roman"/>
          <w:sz w:val="24"/>
          <w:szCs w:val="24"/>
        </w:rPr>
      </w:pPr>
    </w:p>
    <w:p w14:paraId="0EDFC751" w14:textId="77777777" w:rsidR="008B7938" w:rsidRPr="00AE4043" w:rsidRDefault="008B7938" w:rsidP="00AE40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E2F64" w14:textId="77777777" w:rsidR="00984707" w:rsidRPr="00AE4043" w:rsidRDefault="00984707" w:rsidP="00AE4043">
      <w:pPr>
        <w:rPr>
          <w:rFonts w:ascii="Times New Roman" w:hAnsi="Times New Roman" w:cs="Times New Roman"/>
          <w:b/>
          <w:sz w:val="24"/>
          <w:szCs w:val="24"/>
        </w:rPr>
      </w:pPr>
    </w:p>
    <w:p w14:paraId="019CD551" w14:textId="77777777" w:rsidR="005B34C7" w:rsidRPr="00AE4043" w:rsidRDefault="005B34C7" w:rsidP="00AE4043">
      <w:pPr>
        <w:rPr>
          <w:rFonts w:ascii="Times New Roman" w:hAnsi="Times New Roman" w:cs="Times New Roman"/>
          <w:b/>
          <w:sz w:val="24"/>
          <w:szCs w:val="24"/>
        </w:rPr>
      </w:pPr>
    </w:p>
    <w:p w14:paraId="78B02A90" w14:textId="77777777" w:rsidR="00BB7659" w:rsidRPr="00AE4043" w:rsidRDefault="008E0C13" w:rsidP="00AE4043">
      <w:pPr>
        <w:rPr>
          <w:rFonts w:ascii="Times New Roman" w:hAnsi="Times New Roman" w:cs="Times New Roman"/>
          <w:b/>
          <w:sz w:val="24"/>
          <w:szCs w:val="24"/>
        </w:rPr>
      </w:pPr>
      <w:r w:rsidRPr="00AE40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SADRŽAJ </w:t>
      </w:r>
    </w:p>
    <w:p w14:paraId="195DC19D" w14:textId="77777777" w:rsidR="009F6B62" w:rsidRPr="00AE4043" w:rsidRDefault="009F6B62" w:rsidP="00AE4043">
      <w:pPr>
        <w:rPr>
          <w:rFonts w:ascii="Times New Roman" w:hAnsi="Times New Roman" w:cs="Times New Roman"/>
          <w:b/>
          <w:sz w:val="24"/>
          <w:szCs w:val="24"/>
        </w:rPr>
      </w:pPr>
    </w:p>
    <w:p w14:paraId="3CD9673F" w14:textId="77777777" w:rsidR="008E0C13" w:rsidRPr="00AE4043" w:rsidRDefault="008E0C13" w:rsidP="00AE404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4043">
        <w:rPr>
          <w:rFonts w:ascii="Times New Roman" w:hAnsi="Times New Roman" w:cs="Times New Roman"/>
          <w:sz w:val="24"/>
          <w:szCs w:val="24"/>
        </w:rPr>
        <w:t>1</w:t>
      </w:r>
      <w:r w:rsidR="009F6B62" w:rsidRPr="00AE4043">
        <w:rPr>
          <w:rFonts w:ascii="Times New Roman" w:hAnsi="Times New Roman" w:cs="Times New Roman"/>
          <w:sz w:val="24"/>
          <w:szCs w:val="24"/>
        </w:rPr>
        <w:t xml:space="preserve">. Uvod </w:t>
      </w:r>
    </w:p>
    <w:p w14:paraId="7B5AB31A" w14:textId="77777777" w:rsidR="009F6B62" w:rsidRPr="00AE4043" w:rsidRDefault="008E0C13" w:rsidP="00AE404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Zakonodavni okvir i postupak izdavanja izvoznih dozvol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6195D6C4" w14:textId="77777777" w:rsidR="008E0C13" w:rsidRPr="00AE4043" w:rsidRDefault="009F6B62" w:rsidP="00AE404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Zakonodavni okvir u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epublici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rvatskoj </w:t>
      </w:r>
    </w:p>
    <w:p w14:paraId="4C5D13D0" w14:textId="77777777" w:rsidR="0093290E" w:rsidRPr="00AE4043" w:rsidRDefault="0093290E" w:rsidP="00AE4043">
      <w:pPr>
        <w:pStyle w:val="Standard"/>
        <w:spacing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2.2. </w:t>
      </w:r>
      <w:r w:rsidR="009F6B62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Ruska invazija na Ukrajinu i proširenje zakonodavnog okvira u području nadzora robe s dvojnom namjenom </w:t>
      </w:r>
    </w:p>
    <w:p w14:paraId="29CE0102" w14:textId="77777777" w:rsidR="0093290E" w:rsidRPr="00AE4043" w:rsidRDefault="0093290E" w:rsidP="00AE404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Režimi međunarodne kontrole izvoza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</w:p>
    <w:p w14:paraId="5F097986" w14:textId="77777777" w:rsidR="0093290E" w:rsidRPr="00AE4043" w:rsidRDefault="0093290E" w:rsidP="00AE404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ostupak izdavanja izvoznih dozvola</w:t>
      </w:r>
    </w:p>
    <w:p w14:paraId="0987F4AE" w14:textId="77777777" w:rsidR="00DA5651" w:rsidRPr="00AE4043" w:rsidRDefault="00DA5651" w:rsidP="00AE404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Vrste izvoznih dozvola i potvrda </w:t>
      </w:r>
    </w:p>
    <w:p w14:paraId="3FC2795F" w14:textId="77777777" w:rsidR="009F6B62" w:rsidRPr="00AE4043" w:rsidRDefault="00DA5651" w:rsidP="00AE4043">
      <w:pPr>
        <w:tabs>
          <w:tab w:val="num" w:pos="720"/>
        </w:tabs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Ostale aktivnosti </w:t>
      </w:r>
    </w:p>
    <w:p w14:paraId="22B71A43" w14:textId="77777777" w:rsidR="00DA5651" w:rsidRPr="00AE4043" w:rsidRDefault="00DA5651" w:rsidP="00AE4043">
      <w:pPr>
        <w:tabs>
          <w:tab w:val="num" w:pos="720"/>
        </w:tabs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9F6B62" w:rsidRPr="00AE4043">
        <w:rPr>
          <w:rFonts w:ascii="Times New Roman" w:hAnsi="Times New Roman" w:cs="Times New Roman"/>
          <w:bCs/>
          <w:sz w:val="24"/>
          <w:szCs w:val="24"/>
          <w:lang w:val="la-Latn"/>
        </w:rPr>
        <w:t>Suradnja s industrijom</w:t>
      </w:r>
      <w:r w:rsidR="009F6B62" w:rsidRPr="00AE4043">
        <w:rPr>
          <w:rFonts w:ascii="Times New Roman" w:hAnsi="Times New Roman" w:cs="Times New Roman"/>
          <w:bCs/>
          <w:sz w:val="24"/>
          <w:szCs w:val="24"/>
        </w:rPr>
        <w:t xml:space="preserve"> i akademskom zajednicom </w:t>
      </w:r>
    </w:p>
    <w:p w14:paraId="657753A1" w14:textId="77777777" w:rsidR="00984707" w:rsidRPr="00AE4043" w:rsidRDefault="00984707" w:rsidP="00AE404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9F6B62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Međunarodne aktivnosti </w:t>
      </w:r>
    </w:p>
    <w:p w14:paraId="2DD038C8" w14:textId="77777777" w:rsidR="00984707" w:rsidRPr="00AE4043" w:rsidRDefault="00984707" w:rsidP="00AE404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3.2.1. Forum o izvoznoj kontroli </w:t>
      </w:r>
    </w:p>
    <w:p w14:paraId="281F1CB6" w14:textId="77777777" w:rsidR="00984707" w:rsidRPr="00AE4043" w:rsidRDefault="009F6B62" w:rsidP="00AE404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3.2.2. RACVIAC </w:t>
      </w:r>
      <w:r w:rsidR="00984707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Regional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Arms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Control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Verification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Implementation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Assistance</w:t>
      </w:r>
      <w:proofErr w:type="spellEnd"/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Centre</w:t>
      </w:r>
      <w:r w:rsidR="00984707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9D339B" w14:textId="77777777" w:rsidR="005B34C7" w:rsidRDefault="005B34C7" w:rsidP="00AE404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Rezultati kontrole izvoza u 2022. godini </w:t>
      </w:r>
    </w:p>
    <w:p w14:paraId="45D191B5" w14:textId="77777777" w:rsidR="00E63E44" w:rsidRPr="00AE4043" w:rsidRDefault="00E63E44" w:rsidP="00AE4043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FA2C6" w14:textId="77777777" w:rsidR="00984707" w:rsidRPr="00AE4043" w:rsidRDefault="00984707" w:rsidP="00AE4043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44D7D" w14:textId="77777777" w:rsidR="00984707" w:rsidRPr="00AE4043" w:rsidRDefault="00984707" w:rsidP="00AE40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3D79CA" w14:textId="77777777" w:rsidR="0093290E" w:rsidRPr="00AE4043" w:rsidRDefault="0093290E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76423A" w14:textId="77777777" w:rsidR="0093290E" w:rsidRPr="00AE4043" w:rsidRDefault="0093290E" w:rsidP="00AE4043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D7910C" w14:textId="77777777" w:rsidR="0093290E" w:rsidRPr="00AE4043" w:rsidRDefault="0093290E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szCs w:val="24"/>
          <w:lang w:val="la-Latn"/>
        </w:rPr>
      </w:pPr>
    </w:p>
    <w:p w14:paraId="19E45B5E" w14:textId="77777777" w:rsidR="008E0C13" w:rsidRPr="00AE4043" w:rsidRDefault="008E0C13" w:rsidP="00AE4043">
      <w:pPr>
        <w:rPr>
          <w:rFonts w:ascii="Times New Roman" w:hAnsi="Times New Roman" w:cs="Times New Roman"/>
          <w:sz w:val="24"/>
          <w:szCs w:val="24"/>
        </w:rPr>
      </w:pPr>
    </w:p>
    <w:p w14:paraId="6891EF1A" w14:textId="77777777" w:rsidR="009F6B62" w:rsidRPr="00AE4043" w:rsidRDefault="009F6B62" w:rsidP="00AE4043">
      <w:pPr>
        <w:spacing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</w:p>
    <w:p w14:paraId="418E9D00" w14:textId="77777777" w:rsidR="00927B54" w:rsidRPr="00AE4043" w:rsidRDefault="00927B54" w:rsidP="00AE4043">
      <w:pPr>
        <w:pStyle w:val="ListParagraph"/>
        <w:numPr>
          <w:ilvl w:val="0"/>
          <w:numId w:val="8"/>
        </w:numPr>
        <w:tabs>
          <w:tab w:val="num" w:pos="72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Cs w:val="24"/>
          <w:lang w:val="la-Latn"/>
        </w:rPr>
      </w:pPr>
      <w:r w:rsidRPr="00AE4043">
        <w:rPr>
          <w:rFonts w:ascii="Times New Roman" w:hAnsi="Times New Roman" w:cs="Times New Roman"/>
          <w:b/>
          <w:color w:val="000000" w:themeColor="text1"/>
          <w:szCs w:val="24"/>
          <w:lang w:val="la-Latn"/>
        </w:rPr>
        <w:t>UVOD</w:t>
      </w:r>
    </w:p>
    <w:p w14:paraId="1729D9B3" w14:textId="4E33CE98" w:rsidR="00334270" w:rsidRPr="00AE4043" w:rsidRDefault="008475BB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Izvoz robe s dvojnom namjenom i tehnologije predstavlja širok raspon robe koja se koristi u industrijskom, nukle</w:t>
      </w:r>
      <w:r w:rsidR="0032490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arnom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, kemijskom i biološkom sektoru. Iako su takvi proizvodi primarno namijenjeni u civilne svrhe, oni </w:t>
      </w:r>
      <w:r w:rsidR="000E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isto tako mogu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koristiti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u vojne svrhe</w:t>
      </w:r>
      <w:r w:rsidR="0032490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, posebice za proizvodnju oružja za masovno uništenje i proizvodnju konvencionalnog oružja. Stoga, sustav kontrole izvoza u ovom području, kao važan element sveobuhvatne strategije neširenja oružja za masovno uništenje,  predstavlja mehanizam kojim se sprječava širenj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2490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oružja za masovno uništenje. Kako bi se osigurao učinkovit zajednički sustav kontrole izvoza robe i tehnologije s dvojnom namjenom i njegova usklađenost s međunarodnim obvezama i odgovornostima država članica prema međunarodnim režimima kontrole o sprječavanju njihovih neželjenih proliferacija, u tr</w:t>
      </w:r>
      <w:r w:rsidR="009C58C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avnju 2004. godine usvojena je </w:t>
      </w:r>
      <w:r w:rsidR="0032490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Rezolucija Vijeća sigurnosti Ujedinjenih naroda 1540 koja propisuje da će sve države poduzeti i provoditi učinkovite mjere za uspostavu domaće kontrole za sprječavanje širenja nuklearnog, kemijskog ili biološkog oružja i sredstava za njegovu dostavu, uključujući uspostavu odgovarajuće kontrole nad povezanim materijalima i uspostavljanje k</w:t>
      </w:r>
      <w:r w:rsidR="0033427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ontrole provoza </w:t>
      </w:r>
      <w:r w:rsidR="000E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 </w:t>
      </w:r>
      <w:r w:rsidR="0033427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i 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brokerskih usluga</w:t>
      </w:r>
      <w:r w:rsidR="0033427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.</w:t>
      </w:r>
    </w:p>
    <w:p w14:paraId="3B91738E" w14:textId="04F7A3FB" w:rsidR="00096410" w:rsidRPr="00AE4043" w:rsidRDefault="00565177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N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adzor robe s dvojnom namjenom i napredne tehnologije </w:t>
      </w:r>
      <w:r w:rsidR="001F24B9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dio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je </w:t>
      </w:r>
      <w:r w:rsidR="001F24B9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zajedničke trgovinske politike Unije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i uređen  je 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Uredbom (EU) 2021/821</w:t>
      </w:r>
      <w:r w:rsidR="001F4BCD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BCD" w:rsidRPr="00AE4043">
        <w:rPr>
          <w:rFonts w:ascii="Times New Roman" w:hAnsi="Times New Roman" w:cs="Times New Roman"/>
          <w:bCs/>
          <w:color w:val="000000" w:themeColor="text1"/>
          <w:sz w:val="24"/>
          <w:szCs w:val="24"/>
          <w:lang w:val="la-Latn"/>
        </w:rPr>
        <w:t xml:space="preserve">Europskog parlamenta i Vijeća od 20. svibnja 2021. o uspostavi režima Unije za kontrolu izvoza, brokeringa, tehničke pomoći, provoza i prijenosa robe s dvojnom namjenom (preinaka) </w:t>
      </w:r>
      <w:r w:rsidR="001F4BCD" w:rsidRPr="00AE4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(u daljnjem tekstu: Uredba (EU) </w:t>
      </w:r>
      <w:r w:rsidR="00BE1385" w:rsidRPr="00AE40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2021/821) 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koja se izravno primjenjuje u svim državama članicama Unije. Sastavni dio Uredbe (EU) 2021/821 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je 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Prilog I. 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koji sadrži popis 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robe 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dvojn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namjen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30042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i napredne tehnologije 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sukladno popisima dogovoreni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m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u sklopu međunarodnih režima</w:t>
      </w:r>
      <w:r w:rsidR="00BE5DB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kontroli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izvoza (</w:t>
      </w:r>
      <w:r w:rsidR="000A456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Wassenaar aranžman, Režim kontrole raketne tehnologije, Grupa nuklearnih dobavljača, Australska skupina)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0A456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multilateralnih sporazuma (Konvencija o zabrani razvijanja, proizvodnje, gomilanja i korištenja kemijskog oružja i njegov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A456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uništenj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77C1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). Popis kontrolirane robe se ažurira svake godine te se na razini Unije usvaja putem delegiranih akata Komisije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koji čine sa</w:t>
      </w:r>
      <w:r w:rsidR="00077B96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stavni dio zakonodavstva Unije. </w:t>
      </w:r>
      <w:r w:rsidR="00637BB6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Važno je</w:t>
      </w:r>
      <w:r w:rsidR="0072501D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="00637BB6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napomenuti da, 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 slučaju da se roba ne nalazi na jednom od popisa robe s dvojnom namjenom, ista može biti predmet nadzora ako postoji zabrinutost u vezi s njezinom krajnjom uporabom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. U tom slučaju govori se o 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tzv.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veobuhvatn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oj 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kontrol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i 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(</w:t>
      </w:r>
      <w:r w:rsidR="00C636F5" w:rsidRPr="00AE40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a-Latn"/>
        </w:rPr>
        <w:t>catch-all</w:t>
      </w:r>
      <w:r w:rsidRPr="00AE40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a-Latn"/>
        </w:rPr>
        <w:t xml:space="preserve"> control</w:t>
      </w:r>
      <w:r w:rsidR="00C636F5" w:rsidRPr="00AE40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a-Latn"/>
        </w:rPr>
        <w:t>)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koja ima za cilj spriječiti </w:t>
      </w:r>
      <w:r w:rsidR="00DB0633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proizvodnju i </w:t>
      </w:r>
      <w:r w:rsidR="00C636F5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širenje oružja za masovno uništenje i </w:t>
      </w:r>
      <w:r w:rsidR="00DB0633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proizvodnju projektila koji mogu nositi takvo oružje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,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u slučaju </w:t>
      </w:r>
      <w:r w:rsidR="00DB0633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da je roba namijenjena zabranjenom krajnjem korisniku, odnosno državi prema kojoj se provode sankcije Vijeća sigurnosti UN-a, odnosno akcije na temelju odluke Organizacije za europsku sigurnost i suradnju (OESS) </w:t>
      </w:r>
      <w:r w:rsidR="00A162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ili Europske unije.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Uzimajući u obzir strelovit napredak tehnologije, te mogućnost zlouporabe novih i naprednih tehnologija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koje mogu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rezultirati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kršenj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ljudskih prava i međunarodnog humanitarnog prava</w:t>
      </w:r>
      <w:r w:rsidR="0004155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,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Uredb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4155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(EU) 2021/821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posebn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pozornost posveć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uje</w:t>
      </w:r>
      <w:r w:rsidR="0004155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kontroli robe za kibernetički nadzor i robi koja se označava zajedničkim nazivom „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rastuća i </w:t>
      </w:r>
      <w:r w:rsidR="0043235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napredna tehnologija“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(</w:t>
      </w:r>
      <w:r w:rsidR="00545BA6" w:rsidRPr="00AE40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a-Latn"/>
        </w:rPr>
        <w:t>emerging and advanced technology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)</w:t>
      </w:r>
      <w:r w:rsidR="00A32E04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, kao što su 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umjetna inteligencija, nanotehnologija, biotehnologija, robotika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i 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sl.</w:t>
      </w:r>
      <w:r w:rsidR="003532DD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="00545BA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bookmarkStart w:id="0" w:name="_GoBack"/>
      <w:bookmarkEnd w:id="0"/>
    </w:p>
    <w:p w14:paraId="560AEC05" w14:textId="0244E7CB" w:rsidR="00927B54" w:rsidRPr="00AE4043" w:rsidRDefault="003532DD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Kako bi se odgovoril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na izazove koje </w:t>
      </w:r>
      <w:r w:rsidR="0009641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donose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nove tehnologije uveden je prošireni mehanizam nadzora </w:t>
      </w:r>
      <w:r w:rsidR="0009641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robe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putem nacionalnih kontrola 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roba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na način da države članice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mogu 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uv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esti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svoj nacionalni kontrolirani popis robe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iz razloga javne sigurnosti, uključujući sprječavanje terorističkih djela ili u pogledu ljudskih prava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. Uvođenjem nacionalnog kontrolnog popisa robe 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omoguć</w:t>
      </w:r>
      <w:r w:rsidR="00752262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eno je</w:t>
      </w:r>
      <w:r w:rsidR="002F4746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stvaranje mehanizma za primjenu takvih kontrola u drugim članicama Unije. </w:t>
      </w:r>
      <w:r w:rsidR="00B35C1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</w:p>
    <w:p w14:paraId="7C0D690F" w14:textId="175B1A31" w:rsidR="00927B54" w:rsidRPr="00AE4043" w:rsidRDefault="00927B54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Također, akademska za</w:t>
      </w:r>
      <w:r w:rsidR="00ED6AB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jednica i industrija u obvezi su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pratiti važeće zakonodavstvo u cilju usklađivanja </w:t>
      </w:r>
      <w:r w:rsidR="00313778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svojih aktivnosti i djelovanja sa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zakonodavnom regulativom u području nadzora robe s dvojnom namjenom</w:t>
      </w:r>
      <w:r w:rsidR="00313778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9845E36" w14:textId="77777777" w:rsidR="000C1512" w:rsidRPr="00AE4043" w:rsidRDefault="00E77C15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U Republici Hrvatskoj 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nadzor robe s dvojnom namjenom uspostavljen je 2004. godine donošenjem Zakona o izvozu robe s dvojnom namjenom. Trenutno je na snazi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Zakon o nadzo</w:t>
      </w:r>
      <w:r w:rsidR="00A85037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ru robe s dvojnom namjenom (</w:t>
      </w:r>
      <w:r w:rsidR="0090737A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A85037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N</w:t>
      </w:r>
      <w:proofErr w:type="spellStart"/>
      <w:r w:rsidR="0090737A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arodne</w:t>
      </w:r>
      <w:proofErr w:type="spellEnd"/>
      <w:r w:rsidR="0090737A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novine“,  broj </w:t>
      </w:r>
      <w:r w:rsidR="00A85037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80</w:t>
      </w:r>
      <w:r w:rsidR="00A85037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/11, 68/13</w:t>
      </w:r>
      <w:r w:rsidR="0090737A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5037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je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donesen prije stupanja</w:t>
      </w:r>
      <w:r w:rsidR="000A3A7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Republike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Hrvatske u Europsku uniju. U cilju usklađivanja novina iz Uredbe (EU) 2021/821 </w:t>
      </w:r>
      <w:r w:rsidR="008922AE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je stupila na snagu 2021. godine 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i </w:t>
      </w:r>
      <w:r w:rsidR="000A3A7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provedbe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kontrole izvoza robe s dvojnom namj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enom na nacionalnoj razini</w:t>
      </w:r>
      <w:r w:rsidR="000A3A7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, u </w:t>
      </w:r>
      <w:r w:rsidR="00CC4AAB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2023. godini </w:t>
      </w:r>
      <w:r w:rsidR="000A3A7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u zakonodavnu proceduru upućen je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Zakon o nadzoru robe s dvojnom namjenom </w:t>
      </w:r>
      <w:r w:rsidR="000A3A71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koji će zamijeniti postojeći Zakon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151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U Republici Hrvatskoj Ministarstvo vanjskih i europskih poslova </w:t>
      </w:r>
      <w:r w:rsidR="0008208A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nadležno je </w:t>
      </w:r>
      <w:r w:rsidR="000C1512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za provedbu nadzora robe s dvojnom namjenom. </w:t>
      </w:r>
    </w:p>
    <w:p w14:paraId="561EF789" w14:textId="77777777" w:rsidR="00BE1385" w:rsidRPr="00AE4043" w:rsidRDefault="000A3A71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Sukladno članku 20. Zakona o nadzoru robe s dvojnom namjenom </w:t>
      </w:r>
      <w:r w:rsidR="00DF1270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Ministarstvo vanjskih i europskih poslova dostavlja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Vladi Republike Hrvatske deseto Izvješće o nadzoru robe s dvojnom namjenom za 2022. godinu.</w:t>
      </w:r>
    </w:p>
    <w:p w14:paraId="7D0B2C44" w14:textId="77777777" w:rsidR="00BE1385" w:rsidRPr="00AE4043" w:rsidRDefault="00BE1385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</w:p>
    <w:p w14:paraId="30AE2351" w14:textId="77777777" w:rsidR="00AE4043" w:rsidRDefault="00AE4043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8DA295" w14:textId="77777777" w:rsidR="000A4566" w:rsidRPr="00AE4043" w:rsidRDefault="00BE1385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0A4566" w:rsidRPr="00AE4043"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  <w:t xml:space="preserve">ZAKONODAVNI OKVIR I POSTUPAK IZDAVANJA IZVOZNIH DOZVOLA </w:t>
      </w:r>
    </w:p>
    <w:p w14:paraId="0BA304E6" w14:textId="77777777" w:rsidR="00803E9E" w:rsidRPr="00AE4043" w:rsidRDefault="00803E9E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kern w:val="0"/>
          <w:szCs w:val="24"/>
          <w:lang w:val="la-Latn" w:eastAsia="en-US"/>
        </w:rPr>
      </w:pPr>
    </w:p>
    <w:p w14:paraId="07FFAC12" w14:textId="77777777" w:rsidR="000A4566" w:rsidRDefault="0093290E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szCs w:val="24"/>
          <w:lang w:val="la-Latn"/>
        </w:rPr>
      </w:pPr>
      <w:r w:rsidRPr="00AE4043">
        <w:rPr>
          <w:rFonts w:ascii="Times New Roman" w:hAnsi="Times New Roman" w:cs="Times New Roman"/>
          <w:b/>
          <w:color w:val="000000" w:themeColor="text1"/>
          <w:szCs w:val="24"/>
          <w:lang w:val="hr-HR"/>
        </w:rPr>
        <w:t xml:space="preserve">2.1. </w:t>
      </w:r>
      <w:r w:rsidR="000A4566" w:rsidRPr="00AE4043">
        <w:rPr>
          <w:rFonts w:ascii="Times New Roman" w:hAnsi="Times New Roman" w:cs="Times New Roman"/>
          <w:b/>
          <w:color w:val="000000" w:themeColor="text1"/>
          <w:szCs w:val="24"/>
          <w:lang w:val="la-Latn"/>
        </w:rPr>
        <w:t xml:space="preserve">Zakonodavni okvir u Republici Hrvatskoj </w:t>
      </w:r>
    </w:p>
    <w:p w14:paraId="7678F113" w14:textId="77777777" w:rsidR="00F118BC" w:rsidRPr="00AE4043" w:rsidRDefault="00F118BC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szCs w:val="24"/>
          <w:lang w:val="la-Latn"/>
        </w:rPr>
      </w:pPr>
    </w:p>
    <w:p w14:paraId="18C54B22" w14:textId="77777777" w:rsidR="00BE1385" w:rsidRPr="00AE4043" w:rsidRDefault="00BE1385" w:rsidP="00AE4043">
      <w:pPr>
        <w:pStyle w:val="Standard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Važeći zakonodavni okvir nadzora robe s dvojnom namjenom čine sljedeći propisi: </w:t>
      </w:r>
    </w:p>
    <w:p w14:paraId="63E01A1C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color w:val="424242"/>
          <w:sz w:val="24"/>
          <w:szCs w:val="24"/>
          <w:shd w:val="clear" w:color="auto" w:fill="FFFFFF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Uredba (EU)</w:t>
      </w:r>
      <w:r w:rsidRPr="00AE4043">
        <w:rPr>
          <w:rFonts w:ascii="Times New Roman" w:hAnsi="Times New Roman"/>
          <w:bCs/>
          <w:color w:val="000000" w:themeColor="text1"/>
          <w:sz w:val="24"/>
          <w:szCs w:val="24"/>
          <w:lang w:val="la-Latn"/>
        </w:rPr>
        <w:t xml:space="preserve"> 2021/821 Europskog parlamenta i Vijeća od 20. svibnja 2021. o uspostavi režima Unije za kontrolu izvoza, brokeringa, tehničke pomoći, provoza i prijenosa robe s dvojnom namjenom (preinaka) koja je na snazi od 9. rujna 2021</w:t>
      </w:r>
      <w:r w:rsidR="007C1110" w:rsidRPr="00AE4043">
        <w:rPr>
          <w:rFonts w:ascii="Times New Roman" w:hAnsi="Times New Roman"/>
          <w:bCs/>
          <w:color w:val="000000" w:themeColor="text1"/>
          <w:sz w:val="24"/>
          <w:szCs w:val="24"/>
        </w:rPr>
        <w:t>. godine</w:t>
      </w:r>
    </w:p>
    <w:p w14:paraId="27569E4F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Delegirana uredba Komisije (EU) 2022/699 </w:t>
      </w:r>
      <w:proofErr w:type="spellStart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оd</w:t>
      </w:r>
      <w:proofErr w:type="spellEnd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3. svibnja 2022. o izmjeni Uredbe (EU) 2021/821 Europskog parlamenta i Vijeća uklanjanjem Rusije kao odredišta iz područja primjene općih izvoznih dozvola (</w:t>
      </w:r>
      <w:proofErr w:type="spellStart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Sl</w:t>
      </w:r>
      <w:proofErr w:type="spellEnd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 130/1, 4.5.2022.)</w:t>
      </w:r>
    </w:p>
    <w:p w14:paraId="4103F306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Delegirana uredba Komisije (EU) 2023/66 </w:t>
      </w:r>
      <w:proofErr w:type="spellStart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оd</w:t>
      </w:r>
      <w:proofErr w:type="spellEnd"/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21. listopada 2022. o izmjeni Uredbe (EU) 2021/821 Europskog parlamenta i Vijeća u pogledu popisa robe s dvojnom namjenom (SL L  9/1 , 11. 1., 2023.)</w:t>
      </w:r>
    </w:p>
    <w:p w14:paraId="4F8EFB1B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Zakon o nadzoru robe s dvojno</w:t>
      </w:r>
      <w:r w:rsidR="007C1110"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 namjenom (Narodne novine, broj </w:t>
      </w:r>
      <w:r w:rsidR="007C1110" w:rsidRPr="00AE4043">
        <w:rPr>
          <w:rFonts w:ascii="Times New Roman" w:hAnsi="Times New Roman"/>
          <w:color w:val="000000" w:themeColor="text1"/>
          <w:sz w:val="24"/>
          <w:szCs w:val="24"/>
          <w:lang w:val="la-Latn"/>
        </w:rPr>
        <w:t xml:space="preserve">80/11, </w:t>
      </w:r>
      <w:r w:rsidRPr="00AE4043">
        <w:rPr>
          <w:rFonts w:ascii="Times New Roman" w:hAnsi="Times New Roman"/>
          <w:color w:val="000000" w:themeColor="text1"/>
          <w:sz w:val="24"/>
          <w:szCs w:val="24"/>
          <w:lang w:val="la-Latn"/>
        </w:rPr>
        <w:t>68/13</w:t>
      </w:r>
      <w:r w:rsidR="007C1110" w:rsidRPr="00AE404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) (u daljnjem tekstu: Zakon)</w:t>
      </w:r>
    </w:p>
    <w:p w14:paraId="3B44110D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Pravilnik o obrascima zahtjeva za robu s dvojnom namjenom  (</w:t>
      </w:r>
      <w:r w:rsidR="007C1110" w:rsidRPr="00AE404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Narodne novine, broj </w:t>
      </w:r>
      <w:hyperlink r:id="rId8" w:history="1">
        <w:r w:rsidRPr="00AE4043">
          <w:rPr>
            <w:rFonts w:ascii="Times New Roman" w:hAnsi="Times New Roman"/>
            <w:bCs/>
            <w:sz w:val="24"/>
            <w:szCs w:val="24"/>
          </w:rPr>
          <w:t>11/2022</w:t>
        </w:r>
      </w:hyperlink>
      <w:r w:rsidR="007C1110" w:rsidRPr="00AE4043">
        <w:rPr>
          <w:rFonts w:ascii="Times New Roman" w:hAnsi="Times New Roman"/>
          <w:bCs/>
          <w:sz w:val="24"/>
          <w:szCs w:val="24"/>
        </w:rPr>
        <w:t>.</w:t>
      </w: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3D4EFC2F" w14:textId="77777777" w:rsidR="00BE1385" w:rsidRPr="00AE4043" w:rsidRDefault="00BE1385" w:rsidP="00F36F1A">
      <w:pPr>
        <w:pStyle w:val="Standard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Pravilnik o obrascu zahtjeva za izdavanje međunarodne uvozne potvrde, potvrde o krajnjem korištenju i potvrde o primitku robe s dvojnom namjenom  (</w:t>
      </w:r>
      <w:hyperlink r:id="rId9" w:history="1">
        <w:r w:rsidR="007C1110" w:rsidRPr="00AE4043">
          <w:rPr>
            <w:rFonts w:ascii="Times New Roman" w:hAnsi="Times New Roman"/>
            <w:bCs/>
            <w:color w:val="000000" w:themeColor="text1"/>
            <w:sz w:val="24"/>
            <w:szCs w:val="24"/>
          </w:rPr>
          <w:t xml:space="preserve">Narodne novine, broj </w:t>
        </w:r>
        <w:r w:rsidRPr="00AE4043">
          <w:rPr>
            <w:rFonts w:ascii="Times New Roman" w:hAnsi="Times New Roman"/>
            <w:bCs/>
            <w:sz w:val="24"/>
            <w:szCs w:val="24"/>
          </w:rPr>
          <w:t>4/14</w:t>
        </w:r>
      </w:hyperlink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, </w:t>
      </w:r>
      <w:hyperlink r:id="rId10" w:history="1">
        <w:r w:rsidRPr="00AE4043">
          <w:rPr>
            <w:rFonts w:ascii="Times New Roman" w:hAnsi="Times New Roman"/>
            <w:bCs/>
            <w:sz w:val="24"/>
            <w:szCs w:val="24"/>
          </w:rPr>
          <w:t>20/17</w:t>
        </w:r>
      </w:hyperlink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, </w:t>
      </w:r>
      <w:hyperlink r:id="rId11" w:history="1">
        <w:r w:rsidRPr="00AE4043">
          <w:rPr>
            <w:rFonts w:ascii="Times New Roman" w:hAnsi="Times New Roman"/>
            <w:bCs/>
            <w:sz w:val="24"/>
            <w:szCs w:val="24"/>
          </w:rPr>
          <w:t>11/2022</w:t>
        </w:r>
      </w:hyperlink>
      <w:r w:rsidR="00FF0551" w:rsidRPr="00AE4043">
        <w:rPr>
          <w:rFonts w:ascii="Times New Roman" w:hAnsi="Times New Roman"/>
          <w:bCs/>
          <w:sz w:val="24"/>
          <w:szCs w:val="24"/>
        </w:rPr>
        <w:t>.</w:t>
      </w:r>
      <w:r w:rsidRPr="00AE4043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1A2D7676" w14:textId="77777777" w:rsidR="008D6F99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26491C" w14:textId="77777777" w:rsidR="008D6F99" w:rsidRPr="00AE4043" w:rsidRDefault="008D6F99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9F6B62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Ruska invazija na Ukrajinu i proširenje zakonodavnog okvira u području nadzora robe s dvojnom namjenom </w:t>
      </w:r>
    </w:p>
    <w:p w14:paraId="20CF9283" w14:textId="77777777" w:rsidR="008D6F99" w:rsidRPr="00AE4043" w:rsidRDefault="008D6F99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346F2D" w14:textId="0E702C1F" w:rsidR="008D6F99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Ruska invazija na Ukrajinu koja je započela 24. veljače 2022. godine unijela je promijene vezane za  izvoz robe s dvojnom namjenom i naprednom tehnologijom. Europska unija je proširila mjere ograničavanja prema Rusiji i </w:t>
      </w:r>
      <w:proofErr w:type="spellStart"/>
      <w:r w:rsidRPr="00AE4043">
        <w:rPr>
          <w:rFonts w:ascii="Times New Roman" w:hAnsi="Times New Roman"/>
          <w:color w:val="000000" w:themeColor="text1"/>
          <w:sz w:val="24"/>
          <w:szCs w:val="24"/>
        </w:rPr>
        <w:t>Bjelarus</w:t>
      </w:r>
      <w:proofErr w:type="spellEnd"/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dodavanjem novih popisa roba i tehnologija, te je time  proširen djelokrug izvozne kontrole u odnosu na robu s dvojnom namjenom koja je utvrđena u Prilogu I. Uredbe (EU) 2021/821. Mjere ograničavanja koje donosi Europska unija sadržane su u pravnim aktima, i to Uredbi Vijeća (EU) br. 833/2014 od 31. srpnja 2014. o mjerama ograničavanja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 obzirom na djelovanja Rusije kojima se destabilizira stanje u Ukrajini (u daljnjem tekstu: Uredba (EU) 833/2014) i </w:t>
      </w:r>
      <w:r w:rsidRPr="00AE4043">
        <w:rPr>
          <w:rFonts w:ascii="Times New Roman" w:hAnsi="Times New Roman"/>
          <w:sz w:val="24"/>
          <w:szCs w:val="24"/>
        </w:rPr>
        <w:t xml:space="preserve">Uredbi (EZ) br. 765/2006 o mjerama ograničavanja s obzirom na stanje u </w:t>
      </w:r>
      <w:proofErr w:type="spellStart"/>
      <w:r w:rsidRPr="00AE4043">
        <w:rPr>
          <w:rFonts w:ascii="Times New Roman" w:hAnsi="Times New Roman"/>
          <w:sz w:val="24"/>
          <w:szCs w:val="24"/>
        </w:rPr>
        <w:t>Bjelarusu</w:t>
      </w:r>
      <w:proofErr w:type="spellEnd"/>
      <w:r w:rsidRPr="00AE4043">
        <w:rPr>
          <w:rFonts w:ascii="Times New Roman" w:hAnsi="Times New Roman"/>
          <w:sz w:val="24"/>
          <w:szCs w:val="24"/>
        </w:rPr>
        <w:t xml:space="preserve"> i sudjelovanje </w:t>
      </w:r>
      <w:proofErr w:type="spellStart"/>
      <w:r w:rsidRPr="00AE4043">
        <w:rPr>
          <w:rFonts w:ascii="Times New Roman" w:hAnsi="Times New Roman"/>
          <w:sz w:val="24"/>
          <w:szCs w:val="24"/>
        </w:rPr>
        <w:t>Bjelarusa</w:t>
      </w:r>
      <w:proofErr w:type="spellEnd"/>
      <w:r w:rsidRPr="00AE4043">
        <w:rPr>
          <w:rFonts w:ascii="Times New Roman" w:hAnsi="Times New Roman"/>
          <w:sz w:val="24"/>
          <w:szCs w:val="24"/>
        </w:rPr>
        <w:t xml:space="preserve"> u ruskoj agresiji prema Ukrajini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(u daljnjem tekstu: Uredba (EZ) 765/2006). Obje navedene uredbe pravno su obvezujuće i izravno se primjenjuju u svim državama članicama Unije. Na taj način osigurana je istovremena primjena pravne regulative iz područja nadzora robe s dvojnom namjenom i zakonodavstva Unije o mjerama ograničavanja u odnosu na izvoz robe i tehnologije u Rusiju i </w:t>
      </w:r>
      <w:proofErr w:type="spellStart"/>
      <w:r w:rsidRPr="00AE4043">
        <w:rPr>
          <w:rFonts w:ascii="Times New Roman" w:hAnsi="Times New Roman"/>
          <w:color w:val="000000" w:themeColor="text1"/>
          <w:sz w:val="24"/>
          <w:szCs w:val="24"/>
        </w:rPr>
        <w:t>Bjelarus</w:t>
      </w:r>
      <w:proofErr w:type="spellEnd"/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. Ujedno, potrebno je naglasiti da </w:t>
      </w:r>
      <w:r w:rsidR="007674AB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="009E6A46">
        <w:rPr>
          <w:rFonts w:ascii="Times New Roman" w:hAnsi="Times New Roman"/>
          <w:color w:val="000000" w:themeColor="text1"/>
          <w:sz w:val="24"/>
          <w:szCs w:val="24"/>
        </w:rPr>
        <w:t xml:space="preserve">pod izvoznim ograničenjima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podrazumijeva  prodaja, opskrba, prijenos i izvoz navedene robe, kao i pružanje brokerskih usluga te tehničke i financijske pomoći. </w:t>
      </w:r>
    </w:p>
    <w:p w14:paraId="3499E50B" w14:textId="77777777" w:rsidR="008D6F99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F4ACB8" w14:textId="07B4CBCC" w:rsidR="008D6F99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Uredba (EU) 833/2014 donesena 2014. godine sadržavala je zabranu izvoza robe s dvojnom namjenom ruskom vojnom sektoru, dok  izmijene koje su 2022. godine unesene u Uredbu (EU) 833/2014  obuhvaćaju i zabranu izvoza robe namijenjenu civilnim krajnjim korisnicima. Također, poseban naglasak je stavljen na izvoz tzv. napredne tehnologije kako bi se ograničilo jačanje ruskih vojnih i tehnoloških kapaciteta u sektorima kao što su elektronika, računalstvo, telekomunikacije i informacijska sigurnost, senzori i laseri u pomorstvu, kemikalije koje bi se mogle koristiti u procesu proizvodnje kemijskog oružja, posebni materijali i povezana oprema, proizvodna oprema i drugi osjetljivi predmeti, poput onih koje koriste ruska državna tijela. Dodatno, identificirane su pravne i fizičke osobe povezane s ruskim obrambenim i industrijskim sektorom, čime su nametnuta još stroža izvozna ograničenja. Iako je izvoz robe i tehnologije zabranjen, Uredba (EU) 833/2014 predviđa vrlo </w:t>
      </w:r>
      <w:r w:rsidR="009E6A46">
        <w:rPr>
          <w:rFonts w:ascii="Times New Roman" w:hAnsi="Times New Roman"/>
          <w:color w:val="000000" w:themeColor="text1"/>
          <w:sz w:val="24"/>
          <w:szCs w:val="24"/>
        </w:rPr>
        <w:t>ograničena izuzeća i odstupanja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te omogućava, pod određenim uvjetima</w:t>
      </w:r>
      <w:r w:rsidR="009E6A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nastavak izvoza temeljem prethodno potpisanih ugovora.</w:t>
      </w:r>
      <w:r w:rsidR="00A0627A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Ministarstvo vanjskih i europskih poslova u 2022. godini </w:t>
      </w:r>
      <w:r w:rsidR="00896071">
        <w:rPr>
          <w:rFonts w:ascii="Times New Roman" w:hAnsi="Times New Roman"/>
          <w:color w:val="000000" w:themeColor="text1"/>
          <w:sz w:val="24"/>
          <w:szCs w:val="24"/>
        </w:rPr>
        <w:t>zaprimilo jedan zahtjev za izvoznu dozvolu za Rusiju koji je odbijen.</w:t>
      </w:r>
      <w:r w:rsidR="003F7D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92BA87" w14:textId="77777777" w:rsidR="008D6F99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0AA2EA" w14:textId="77777777" w:rsidR="003E3036" w:rsidRPr="00AE4043" w:rsidRDefault="008D6F99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Uredba (EZ) 765/2006 donesena je 2006. godine, dok je 2022. godine proširen popis robe i napredne tehnologije, te dodan popis fizičkih i pravnih osoba prema kojima se primjenjuju izvozna ograničenja. Mjere ograničenja nametnute </w:t>
      </w:r>
      <w:proofErr w:type="spellStart"/>
      <w:r w:rsidRPr="00AE4043">
        <w:rPr>
          <w:rFonts w:ascii="Times New Roman" w:hAnsi="Times New Roman"/>
          <w:color w:val="000000" w:themeColor="text1"/>
          <w:sz w:val="24"/>
          <w:szCs w:val="24"/>
        </w:rPr>
        <w:t>Bjelarus</w:t>
      </w:r>
      <w:proofErr w:type="spellEnd"/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u velikoj mjeri zrcale pristup Unije prema Rusiji, ali  popis  robe i napredne tehnologije  čiji izvoz je zabranjen u </w:t>
      </w:r>
      <w:proofErr w:type="spellStart"/>
      <w:r w:rsidRPr="00AE4043">
        <w:rPr>
          <w:rFonts w:ascii="Times New Roman" w:hAnsi="Times New Roman"/>
          <w:color w:val="000000" w:themeColor="text1"/>
          <w:sz w:val="24"/>
          <w:szCs w:val="24"/>
        </w:rPr>
        <w:t>Bjelarus</w:t>
      </w:r>
      <w:proofErr w:type="spellEnd"/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, kao i uvjeti pod kojima se isti može odobriti nije istovjetan ruskim mjerama ograničavanja čiji je </w:t>
      </w:r>
      <w:r w:rsidR="00004D92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opseg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puno širi.</w:t>
      </w:r>
    </w:p>
    <w:p w14:paraId="5E18A4A0" w14:textId="4F89245A" w:rsidR="008D6F99" w:rsidRPr="00AE4043" w:rsidRDefault="00004D92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>Ministarstvo vanjskih i europskih poslova je danom stupanja na snagu izmijene Uredbe (EZ) 765/2006  poništilo globalnu izvoznu dozvolu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za </w:t>
      </w:r>
      <w:proofErr w:type="spellStart"/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>Bjelarus</w:t>
      </w:r>
      <w:proofErr w:type="spellEnd"/>
      <w:r w:rsidR="001C5E1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izdanu 2021. godine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7231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te je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u skladu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s 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lastRenderedPageBreak/>
        <w:t>člancima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1.e. i 1.f. Uredbe (EZ) 765/2006 </w:t>
      </w:r>
      <w:r w:rsidR="001C5E17" w:rsidRPr="00AE4043">
        <w:rPr>
          <w:rFonts w:ascii="Times New Roman" w:hAnsi="Times New Roman"/>
          <w:color w:val="000000" w:themeColor="text1"/>
          <w:sz w:val="24"/>
          <w:szCs w:val="24"/>
        </w:rPr>
        <w:t>koja propisuje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mogućnost odstupanja od zabrane izvoza robe s dvojnom namjenom i tehnologijom </w:t>
      </w:r>
      <w:r w:rsidR="00B019AF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izdalo </w:t>
      </w:r>
      <w:r w:rsidR="00375CE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15 individualnih dozvola za izvoz 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>robe s dvojnom namjenom i naprednom tehnologijom</w:t>
      </w:r>
      <w:r w:rsidR="00D87DB7" w:rsidRPr="00AE404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55D6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270821C" w14:textId="77777777" w:rsidR="00D73AF9" w:rsidRPr="00AE4043" w:rsidRDefault="00D73AF9" w:rsidP="00AE4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C7344" w14:textId="77777777" w:rsidR="00053B4C" w:rsidRPr="00AE4043" w:rsidRDefault="0093290E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r w:rsidR="007E5023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Režimi međunarodne kontrole izvoza</w:t>
      </w:r>
    </w:p>
    <w:p w14:paraId="671EE4B9" w14:textId="77777777" w:rsidR="007E5023" w:rsidRPr="00AE4043" w:rsidRDefault="007E5023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397210" w14:textId="1B460F7E" w:rsidR="00053B4C" w:rsidRPr="00AE4043" w:rsidRDefault="00053B4C" w:rsidP="00AE4043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Režimi međunarodne kontrole </w:t>
      </w:r>
      <w:r w:rsidR="00D87DB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izvoza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nadziru i ograničavaju međunarodno kretanje robe, softvera i tehnologije koji se koriste ili bi se mogli koristiti u vojne svrhe</w:t>
      </w:r>
      <w:r w:rsidR="00EB054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, a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kako bi se spriječilo širenje oružja za masovno uništenje i širenje konvencionalnog oružja u osjetljivim područjima. 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Stoga ovi režimi </w:t>
      </w:r>
      <w:r w:rsidR="00EB054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predstavljaju </w:t>
      </w:r>
      <w:r w:rsidR="003E64E0">
        <w:rPr>
          <w:rFonts w:ascii="Times New Roman" w:hAnsi="Times New Roman"/>
          <w:color w:val="000000" w:themeColor="text1"/>
          <w:sz w:val="24"/>
          <w:szCs w:val="24"/>
        </w:rPr>
        <w:t>specifične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054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3E64E0">
        <w:rPr>
          <w:rFonts w:ascii="Times New Roman" w:hAnsi="Times New Roman"/>
          <w:color w:val="000000" w:themeColor="text1"/>
          <w:sz w:val="24"/>
          <w:szCs w:val="24"/>
        </w:rPr>
        <w:t>neobvezujuće kontrolne mehanizme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za jačanje kontrole</w:t>
      </w:r>
      <w:r w:rsidR="00D87DB7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izvoza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. Popisi roba ne sadrže sve relevantne robe, već samo one koje su </w:t>
      </w:r>
      <w:r w:rsidR="00EB054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bitne 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>u smislu širenja oružja za masovno uništenje</w:t>
      </w:r>
      <w:r w:rsidR="00EB0544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kako bi se uspostavio </w:t>
      </w:r>
      <w:r w:rsidR="00E807F3" w:rsidRPr="00AE4043">
        <w:rPr>
          <w:rFonts w:ascii="Times New Roman" w:hAnsi="Times New Roman"/>
          <w:color w:val="000000" w:themeColor="text1"/>
          <w:sz w:val="24"/>
          <w:szCs w:val="24"/>
        </w:rPr>
        <w:t>dosljedan režim izvoza. Popisi roba nisu zatvoreni i kontinuirano se ažuriraju na redovitim sastancima stručnih skupina</w:t>
      </w:r>
      <w:r w:rsidR="00666886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1D99605" w14:textId="29DF309A" w:rsidR="008922AE" w:rsidRPr="00AE4043" w:rsidRDefault="008922AE" w:rsidP="00F36F1A">
      <w:pPr>
        <w:pStyle w:val="Standard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Wassenar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aranžman</w:t>
      </w:r>
      <w:r w:rsidR="00666EFB"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(WA)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cilj 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je stvaranje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transparentnost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i već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odgovornosti u prijenosu robe i tehnologije za konvencionalno oružje i robu s dvojnom namjenom te održavanje dogovorenog kontrolnog popisa vojne </w:t>
      </w:r>
      <w:r w:rsidR="00015BD3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robe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i robe s dvojnom namjenom. Republika Hrvatska sudionica je WA od lipnja 2005. godine.  Posljednji plenarni sastanak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WA održan je u prosincu 20</w:t>
      </w:r>
      <w:r w:rsidR="00015BD3" w:rsidRPr="00AE4043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20DC5" w:rsidRPr="00AE4043">
        <w:rPr>
          <w:rFonts w:ascii="Times New Roman" w:hAnsi="Times New Roman"/>
          <w:sz w:val="24"/>
          <w:szCs w:val="24"/>
        </w:rPr>
        <w:t xml:space="preserve"> N</w:t>
      </w:r>
      <w:r w:rsidR="00320DC5" w:rsidRPr="00AE4043">
        <w:rPr>
          <w:rFonts w:ascii="Times New Roman" w:hAnsi="Times New Roman"/>
          <w:color w:val="000000" w:themeColor="text1"/>
          <w:sz w:val="24"/>
          <w:szCs w:val="24"/>
        </w:rPr>
        <w:t>astavio se rad na sveobuhvatnom i sustavnom pregledu kontrolnih popisa WA kako bi se osigurala njihova trajna relevantnost te</w:t>
      </w:r>
      <w:r w:rsidR="000579A5">
        <w:rPr>
          <w:rFonts w:ascii="Times New Roman" w:hAnsi="Times New Roman"/>
          <w:color w:val="000000" w:themeColor="text1"/>
          <w:sz w:val="24"/>
          <w:szCs w:val="24"/>
        </w:rPr>
        <w:t xml:space="preserve"> su</w:t>
      </w:r>
      <w:r w:rsidR="00320DC5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usvojene </w:t>
      </w:r>
      <w:r w:rsidR="000579A5">
        <w:rPr>
          <w:rFonts w:ascii="Times New Roman" w:hAnsi="Times New Roman"/>
          <w:color w:val="000000" w:themeColor="text1"/>
          <w:sz w:val="24"/>
          <w:szCs w:val="24"/>
        </w:rPr>
        <w:t>brojne kontrole u nizu područja.</w:t>
      </w:r>
    </w:p>
    <w:p w14:paraId="735D1F38" w14:textId="77777777" w:rsidR="008922AE" w:rsidRPr="00AE4043" w:rsidRDefault="008922AE" w:rsidP="00F36F1A">
      <w:pPr>
        <w:pStyle w:val="Standard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Grupa nuklearnih dobavljača (</w:t>
      </w: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Nuclear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Suppliers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Group – NSG)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– cilj 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je stvaranje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multilateraln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kontrol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nad izvozom robe s dvojnom namjenom koje se mogu koristiti u izradi nuklearnog oružja te održavanje kontrolnog popisa. Republika Hrvatska sudionica je NSG-a od lipnja 2005.</w:t>
      </w:r>
      <w:r w:rsidR="009C2CCE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Posljednji plenarni sastanak održan je u lipnju 2022. godine. </w:t>
      </w:r>
      <w:r w:rsidR="00A044F2" w:rsidRPr="00AE4043">
        <w:rPr>
          <w:rFonts w:ascii="Times New Roman" w:hAnsi="Times New Roman"/>
          <w:color w:val="000000" w:themeColor="text1"/>
          <w:sz w:val="24"/>
          <w:szCs w:val="24"/>
        </w:rPr>
        <w:t>Fokus je bio na tehničkim pitanjima kako bi se pojasnio i ažurirao NSG kontrolni popis.</w:t>
      </w:r>
    </w:p>
    <w:p w14:paraId="5683ACA4" w14:textId="77777777" w:rsidR="00666EFB" w:rsidRPr="00AE4043" w:rsidRDefault="008922AE" w:rsidP="00F36F1A">
      <w:pPr>
        <w:pStyle w:val="Standard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Zanggerova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komisija (</w:t>
      </w:r>
      <w:proofErr w:type="spellStart"/>
      <w:r w:rsidR="005D1352" w:rsidRPr="00AE4043">
        <w:rPr>
          <w:rFonts w:ascii="Times New Roman" w:hAnsi="Times New Roman"/>
          <w:b/>
          <w:color w:val="000000" w:themeColor="text1"/>
          <w:sz w:val="24"/>
          <w:szCs w:val="24"/>
        </w:rPr>
        <w:t>Zangger</w:t>
      </w:r>
      <w:proofErr w:type="spellEnd"/>
      <w:r w:rsidR="005D1352"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D1352" w:rsidRPr="00AE4043">
        <w:rPr>
          <w:rFonts w:ascii="Times New Roman" w:hAnsi="Times New Roman"/>
          <w:b/>
          <w:color w:val="000000" w:themeColor="text1"/>
          <w:sz w:val="24"/>
          <w:szCs w:val="24"/>
        </w:rPr>
        <w:t>Committee</w:t>
      </w:r>
      <w:proofErr w:type="spellEnd"/>
      <w:r w:rsidR="005D1352"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ZC)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održava popis strateške robe povezane s nuklearnim oružjem (pokrećući zaštitne mjere kao uvjet opskrbe</w:t>
      </w:r>
      <w:r w:rsidR="00F118BC">
        <w:rPr>
          <w:rFonts w:ascii="Times New Roman" w:hAnsi="Times New Roman"/>
          <w:color w:val="000000" w:themeColor="text1"/>
          <w:sz w:val="24"/>
          <w:szCs w:val="24"/>
        </w:rPr>
        <w:t>) kako bi pomogao strankama Spor</w:t>
      </w:r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azuma o neširenju nuklearnog oružja u identificiranju opreme i materijala koji podliježu kontroli izvoza. Republika Hrvatska sudionica je </w:t>
      </w:r>
      <w:proofErr w:type="spellStart"/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>Zanggerove</w:t>
      </w:r>
      <w:proofErr w:type="spellEnd"/>
      <w:r w:rsidR="00666EFB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komisije od lipnja 2006. g.</w:t>
      </w:r>
      <w:r w:rsidR="009C2CCE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82EED1" w14:textId="77777777" w:rsidR="008922AE" w:rsidRPr="00AE4043" w:rsidRDefault="008922AE" w:rsidP="00F36F1A">
      <w:pPr>
        <w:pStyle w:val="Standard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Australska skupina </w:t>
      </w:r>
      <w:r w:rsidR="007E021E"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(Australia </w:t>
      </w:r>
      <w:proofErr w:type="spellStart"/>
      <w:r w:rsidR="007E021E" w:rsidRPr="00AE4043">
        <w:rPr>
          <w:rFonts w:ascii="Times New Roman" w:hAnsi="Times New Roman"/>
          <w:b/>
          <w:color w:val="000000" w:themeColor="text1"/>
          <w:sz w:val="24"/>
          <w:szCs w:val="24"/>
        </w:rPr>
        <w:t>group</w:t>
      </w:r>
      <w:proofErr w:type="spellEnd"/>
      <w:r w:rsidR="005D1352" w:rsidRPr="00AE4043">
        <w:rPr>
          <w:rFonts w:ascii="Times New Roman" w:hAnsi="Times New Roman"/>
          <w:b/>
          <w:color w:val="000000" w:themeColor="text1"/>
          <w:sz w:val="24"/>
          <w:szCs w:val="24"/>
        </w:rPr>
        <w:t>-AG</w:t>
      </w:r>
      <w:r w:rsidR="007E021E" w:rsidRPr="00AE4043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7E021E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ima za cilj svesti rizik od širenja agensa za kemijski i biološki rat na najmanju moguću mjeru, održavanje dogovorenog kontrolnog popisa </w:t>
      </w:r>
      <w:proofErr w:type="spellStart"/>
      <w:r w:rsidRPr="00AE4043">
        <w:rPr>
          <w:rFonts w:ascii="Times New Roman" w:hAnsi="Times New Roman"/>
          <w:color w:val="000000" w:themeColor="text1"/>
          <w:sz w:val="24"/>
          <w:szCs w:val="24"/>
        </w:rPr>
        <w:t>prekursora</w:t>
      </w:r>
      <w:proofErr w:type="spellEnd"/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kemijskog oružja, robe s dvojnom namjenom ključnoj u proizvodnji agensa za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lastRenderedPageBreak/>
        <w:t>kemijski i biološki rat, bioloških agensa i biljnih i životinjskih patogena. Republika Hrvatska je sudionica AG od travnja 2007. godine.</w:t>
      </w:r>
      <w:r w:rsidR="009C2CCE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Posljednji plenarni sastanak održan je u srpnju 2022. godine</w:t>
      </w:r>
      <w:r w:rsidR="00A77165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u Parizu, prvi puta u fizičkom obliku od 2019</w:t>
      </w:r>
      <w:r w:rsidR="009C2CCE" w:rsidRPr="00AE404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2932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Popis kontrolirane robe AG-a dopunjen je novim stavkama kao odgovor na prijetnje tehnologije u razvoju dok su određene stavke brisane jer njihova kontrola više nije prikladna.</w:t>
      </w:r>
    </w:p>
    <w:p w14:paraId="7E10763A" w14:textId="77777777" w:rsidR="00053B4C" w:rsidRPr="00AE4043" w:rsidRDefault="0019517F" w:rsidP="00F36F1A">
      <w:pPr>
        <w:pStyle w:val="Standard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Republika Hrvatska još uvijek nije sudionica </w:t>
      </w:r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Režima kontrole raketne tehnologije (</w:t>
      </w: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Missile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Technology </w:t>
      </w: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Control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>Regime</w:t>
      </w:r>
      <w:proofErr w:type="spellEnd"/>
      <w:r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MTCR)</w:t>
      </w:r>
      <w:r w:rsidR="00431A82" w:rsidRPr="00AE40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4043">
        <w:rPr>
          <w:rFonts w:ascii="Times New Roman" w:hAnsi="Times New Roman"/>
          <w:color w:val="000000" w:themeColor="text1"/>
          <w:sz w:val="24"/>
          <w:szCs w:val="24"/>
        </w:rPr>
        <w:t>koji ima za cilj ograničiti širenje projektila i tehnologije za proizvodnju projektila te održavanje kontrolnog popisa robe s vojnom i dvojnom namjenom.</w:t>
      </w:r>
      <w:r w:rsidR="00A77165" w:rsidRPr="00AE4043">
        <w:rPr>
          <w:rFonts w:ascii="Times New Roman" w:hAnsi="Times New Roman"/>
          <w:color w:val="000000" w:themeColor="text1"/>
          <w:sz w:val="24"/>
          <w:szCs w:val="24"/>
        </w:rPr>
        <w:t xml:space="preserve"> Režim je prošle godine obilježio 35. godišnjicu osnutka.</w:t>
      </w:r>
    </w:p>
    <w:p w14:paraId="58949903" w14:textId="77777777" w:rsidR="00F6617F" w:rsidRPr="00AE4043" w:rsidRDefault="00F6617F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kern w:val="0"/>
          <w:szCs w:val="24"/>
          <w:lang w:val="la-Latn" w:eastAsia="en-US"/>
        </w:rPr>
      </w:pPr>
    </w:p>
    <w:p w14:paraId="57BEF15D" w14:textId="77777777" w:rsidR="000A4566" w:rsidRPr="00AE4043" w:rsidRDefault="0093290E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 </w:t>
      </w:r>
      <w:r w:rsidR="007E5023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7E5023" w:rsidRPr="00AE4043"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  <w:t xml:space="preserve">ostupak izdavanja izvoznih dozvola </w:t>
      </w:r>
    </w:p>
    <w:p w14:paraId="533E5E7E" w14:textId="77777777" w:rsidR="007E5023" w:rsidRPr="00AE4043" w:rsidRDefault="007E5023" w:rsidP="00AE40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</w:p>
    <w:p w14:paraId="1ABBDC38" w14:textId="77777777" w:rsidR="00F6617F" w:rsidRPr="00AE4043" w:rsidRDefault="00F6617F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Zahtjev za izdavanje dozvole podnosi se Ministarstvu vanjskih i europskih poslova na obrascima koji su propisani Pravilnikom o obrascima zahtjeva dozvola za robe s dvojnom namjenom („Narodne novine“, br. 11/22) i Pravilnikom o izmjeni Pravilnika o obrascu zahtjeva za izdavanje međunarodne uvozne potvrde, potvrde o krajnjem korištenju te potvrde o primitku robe s dvojnom namjenom („Narodne novine“, br. 44/14, 20/17 i 11/22). </w:t>
      </w:r>
    </w:p>
    <w:p w14:paraId="33FC1F05" w14:textId="77777777" w:rsidR="009C1793" w:rsidRPr="00AE4043" w:rsidRDefault="009C1793" w:rsidP="00AE40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 zahtjevu za izdavanje izvozne dozvole raspravlja Povjerenstvo za nadzor robe s dvojnom namjenom kojega čine  predstavnici ministarstava nadležnih za vanjske poslove, unutarnje poslove, obranu, carinu i gospodarstvo te ovisno o krajnjem korisniku i vrsti robe i predstavnici drugih tijela kao što su ministarstvo nadležno za telekomunikacije, zdravlje, poljoprivredu, za nuklearnu i radiološku sigurnost te sigurnosno obavještajna agencija. </w:t>
      </w:r>
      <w:r w:rsidR="004A2114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Temeljem mišljenja Povjerenstva, Ministarstvo vanjskih i europskih poslova izdaje izvoznu dozvolu.</w:t>
      </w:r>
    </w:p>
    <w:p w14:paraId="6A3ED203" w14:textId="77777777" w:rsidR="00F6617F" w:rsidRPr="00AE4043" w:rsidRDefault="004A2114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Izvozna dozvola izdaje se za svaki pojedinačni izvoz. </w:t>
      </w:r>
      <w:r w:rsidR="00F6617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Međutim, ovisno o vrsti robe s dvojnom namjenom, vrsti i dugoročnosti izvoznih poslova te ovisno o državi u koju se ta roba izvozi Ministarstvo može izdati izvozniku globalnu dozvolu za izvoz istovrsne robe, za jednu ili više država. </w:t>
      </w:r>
    </w:p>
    <w:p w14:paraId="070BBD12" w14:textId="77777777" w:rsidR="00F6617F" w:rsidRPr="00AE4043" w:rsidRDefault="00F6617F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Ministarstvo odlučuje o zahtjevu za izdavanje izvozne dozvole u roku do 30 dana, pri čemu se rok u pojedinim slučajevima može produljiti do 60 dana. </w:t>
      </w:r>
    </w:p>
    <w:p w14:paraId="6861184E" w14:textId="77777777" w:rsidR="000A4566" w:rsidRPr="00AE4043" w:rsidRDefault="000A4566" w:rsidP="00AE4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6FEE4E16" w14:textId="77777777" w:rsidR="000A4566" w:rsidRPr="00AE4043" w:rsidRDefault="00DA5651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kern w:val="0"/>
          <w:szCs w:val="24"/>
          <w:lang w:val="la-Latn" w:eastAsia="en-US"/>
        </w:rPr>
      </w:pPr>
      <w:r w:rsidRPr="00AE4043">
        <w:rPr>
          <w:rFonts w:ascii="Times New Roman" w:hAnsi="Times New Roman" w:cs="Times New Roman"/>
          <w:b/>
          <w:color w:val="000000" w:themeColor="text1"/>
          <w:kern w:val="0"/>
          <w:szCs w:val="24"/>
          <w:lang w:val="hr-HR" w:eastAsia="en-US"/>
        </w:rPr>
        <w:t xml:space="preserve">2.5. </w:t>
      </w:r>
      <w:r w:rsidR="007E5023" w:rsidRPr="00AE4043">
        <w:rPr>
          <w:rFonts w:ascii="Times New Roman" w:hAnsi="Times New Roman" w:cs="Times New Roman"/>
          <w:b/>
          <w:color w:val="000000" w:themeColor="text1"/>
          <w:kern w:val="0"/>
          <w:szCs w:val="24"/>
          <w:lang w:val="hr-HR" w:eastAsia="en-US"/>
        </w:rPr>
        <w:t>V</w:t>
      </w:r>
      <w:r w:rsidR="007E5023" w:rsidRPr="00AE4043">
        <w:rPr>
          <w:rFonts w:ascii="Times New Roman" w:hAnsi="Times New Roman" w:cs="Times New Roman"/>
          <w:b/>
          <w:color w:val="000000" w:themeColor="text1"/>
          <w:kern w:val="0"/>
          <w:szCs w:val="24"/>
          <w:lang w:val="la-Latn" w:eastAsia="en-US"/>
        </w:rPr>
        <w:t xml:space="preserve">rste izvoznih dozvola i potvrda </w:t>
      </w:r>
    </w:p>
    <w:p w14:paraId="24369575" w14:textId="77777777" w:rsidR="007E5023" w:rsidRPr="00AE4043" w:rsidRDefault="007E5023" w:rsidP="00AE4043">
      <w:pPr>
        <w:pStyle w:val="List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kern w:val="0"/>
          <w:szCs w:val="24"/>
          <w:lang w:val="la-Latn" w:eastAsia="en-US"/>
        </w:rPr>
      </w:pPr>
    </w:p>
    <w:p w14:paraId="5D107FE5" w14:textId="77777777" w:rsidR="00F6617F" w:rsidRPr="00AE4043" w:rsidRDefault="00A94DC0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Ministarstvo vanjskih i europskih poslova, sukladno Uredbi (EU) 821/2021 i Zakonu o nadzoru robe </w:t>
      </w:r>
      <w:r w:rsidR="002937B7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dvojnom namjenom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izdaje sljedeće dozvole i potvrde:</w:t>
      </w:r>
    </w:p>
    <w:p w14:paraId="5D075E97" w14:textId="4B02C6C8" w:rsidR="00F6617F" w:rsidRPr="00F36F1A" w:rsidRDefault="00A94DC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Individualna izvozna dozvola izdaj</w:t>
      </w:r>
      <w:r w:rsidR="00B423D2" w:rsidRPr="00F36F1A">
        <w:rPr>
          <w:rFonts w:ascii="Times New Roman" w:hAnsi="Times New Roman" w:cs="Times New Roman"/>
          <w:color w:val="000000" w:themeColor="text1"/>
          <w:szCs w:val="24"/>
        </w:rPr>
        <w:t>e</w:t>
      </w: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se jednom određenom izvozniku za jedn</w:t>
      </w:r>
      <w:proofErr w:type="spellStart"/>
      <w:r w:rsidR="00B423D2" w:rsidRPr="00F36F1A">
        <w:rPr>
          <w:rFonts w:ascii="Times New Roman" w:hAnsi="Times New Roman" w:cs="Times New Roman"/>
          <w:color w:val="000000" w:themeColor="text1"/>
          <w:szCs w:val="24"/>
        </w:rPr>
        <w:t>og</w:t>
      </w:r>
      <w:proofErr w:type="spellEnd"/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krajnjeg korisnika ili primatelja u trećoj zemlji i koja obuhvaća jednu ili više roba s dvojnom namjenom. Također, ova dozvola izdaje se i u slučaju privremenog izvoza (primjerice popravak, izložba).</w:t>
      </w:r>
    </w:p>
    <w:p w14:paraId="7EC49DFE" w14:textId="4D8172C2" w:rsidR="00F6617F" w:rsidRPr="00F36F1A" w:rsidRDefault="00A94DC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Globalna izvozna dozvola dodjeljuje se </w:t>
      </w:r>
      <w:r w:rsidR="00F6617F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jednom određenom izvozniku u odnosu na vrstu ili kategoriju robe s dvojnom namjenom koja može vrijediti za izvoz jednom ili većem broju određenih krajnjih korisnika i/ili u jednoj ili više određenih trećih zemalja </w:t>
      </w:r>
    </w:p>
    <w:p w14:paraId="57EE22FE" w14:textId="616CB834" w:rsidR="00F6617F" w:rsidRPr="00F36F1A" w:rsidRDefault="00A94DC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Dozvola za velike projekte izdaje se kao </w:t>
      </w:r>
      <w:r w:rsidR="00F6617F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individualna ili globalna izvozna dozvola određenom izvozniku za jednu vrstu ili kategoriju robe s dvojnom namjenom koja može biti valjana za izvoz jednom određenom krajnjem korisniku ili više njih u jednoj određenoj trećoj zemlji ili više njih za potrebe određenog velikog projekta </w:t>
      </w:r>
    </w:p>
    <w:p w14:paraId="65C13EB7" w14:textId="780D5723" w:rsidR="00A94DC0" w:rsidRPr="00F36F1A" w:rsidRDefault="00A94DC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Dozvola za prijenos unutar Europske unije izdaje se u slučaju kada izvoznik izvozi robu</w:t>
      </w:r>
      <w:r w:rsidR="00DB2143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unutar carinskog područja Unije,</w:t>
      </w: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a radi se o robi s dvojnom namjenom navedenoj u Prilogu IV. Uredbe (EU) 2021/821</w:t>
      </w:r>
    </w:p>
    <w:p w14:paraId="418FE785" w14:textId="644E50A5" w:rsidR="00F6617F" w:rsidRPr="00F36F1A" w:rsidRDefault="00D120A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Dozvola za pružanje brokerskih usluga izdaje se u pružanje brokerskih usluga povezanih s robom s dvojnom namjenom</w:t>
      </w:r>
    </w:p>
    <w:p w14:paraId="48B1A884" w14:textId="547A45B9" w:rsidR="00F6617F" w:rsidRPr="00F36F1A" w:rsidRDefault="00D120A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Dozvola za pružanje tehničke pomoći izdaje se pravnim i  fizičkim osobama- obrtnicima za pružanje usluga tehničke pomoći Unije </w:t>
      </w:r>
    </w:p>
    <w:p w14:paraId="629AA991" w14:textId="3D19B814" w:rsidR="00F6617F" w:rsidRPr="00F36F1A" w:rsidRDefault="00D120A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Dozvola za poseban provoz </w:t>
      </w:r>
      <w:r w:rsidR="00F6617F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može se nametnuti u slučajevima posebnog provoza robe s dvojnom namjenom </w:t>
      </w: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unutar Unije </w:t>
      </w:r>
    </w:p>
    <w:p w14:paraId="626802CE" w14:textId="4EDFD67C" w:rsidR="00D120A0" w:rsidRPr="00F36F1A" w:rsidRDefault="00D120A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Međunarodna uvozna potvrda izdaje se na traženje države izvoznice robe s dvojnom namjenom za izvoz određene robe </w:t>
      </w:r>
    </w:p>
    <w:p w14:paraId="4B407E97" w14:textId="471A9296" w:rsidR="007F169D" w:rsidRPr="00AE4043" w:rsidRDefault="00D120A0" w:rsidP="00F36F1A">
      <w:pPr>
        <w:pStyle w:val="ListParagraph"/>
        <w:numPr>
          <w:ilvl w:val="0"/>
          <w:numId w:val="1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Potvrda o korištenju opće izvozne dozvole Unije </w:t>
      </w:r>
      <w:r w:rsidR="00F6617F" w:rsidRPr="00AE4043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za izvoz u određene države odredišta, koja je raspoloživa svim izvoznicima </w:t>
      </w:r>
      <w:r w:rsidR="000254F5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koji poštuju uvjete i zahtjeve za upotrebu navedene u odjeljcima A do H </w:t>
      </w:r>
      <w:r w:rsidR="00F6617F" w:rsidRPr="00AE4043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Priloga II. Uredbe (EU) 2021/821.  </w:t>
      </w:r>
    </w:p>
    <w:p w14:paraId="044533F6" w14:textId="77777777" w:rsidR="00FA1969" w:rsidRPr="00AE4043" w:rsidRDefault="00642916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Propisano je osam </w:t>
      </w:r>
      <w:r w:rsidR="00F6617F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općih izvoznih dozvola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Unije:</w:t>
      </w:r>
      <w:r w:rsidR="00FA1969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</w:t>
      </w:r>
    </w:p>
    <w:p w14:paraId="6DE71452" w14:textId="7526C2B1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EU001 – izvoz u Australiju, Kanadu, Japan, Novi Zeland, Norvešku, Švicarsku, uključujući Lihtenštajn i Sjedinjene Američke Države</w:t>
      </w:r>
    </w:p>
    <w:p w14:paraId="55037138" w14:textId="5EBC1EC5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EU002 - izvoz određene robe s dvojnom namjenom iz kategorije 1., 2. i 3. u Argentinu, Island, Južnu Afriku, Južnu Koreju i Tursku</w:t>
      </w:r>
    </w:p>
    <w:p w14:paraId="001B4CB0" w14:textId="54CE1C6C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EU003 - izvoz nakon popravka/zamjene</w:t>
      </w:r>
    </w:p>
    <w:p w14:paraId="32599929" w14:textId="6393B0F3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EU004 - privremeni izvoz radi izložbe ili sajma</w:t>
      </w:r>
    </w:p>
    <w:p w14:paraId="32558D98" w14:textId="170C4A8E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EU005 - izvoz telekomunikacija</w:t>
      </w:r>
    </w:p>
    <w:p w14:paraId="1725BDF6" w14:textId="2BB1C4E2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EU006 - izvoz kemikalij</w:t>
      </w:r>
      <w:r w:rsidR="00FA1969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a</w:t>
      </w:r>
    </w:p>
    <w:p w14:paraId="1DF5539F" w14:textId="3EBCBC5C" w:rsidR="00FA1969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EU007 – izvoz softvera i tehnologije unutar grupe</w:t>
      </w:r>
    </w:p>
    <w:p w14:paraId="6795B8A7" w14:textId="74C97C4D" w:rsidR="00580636" w:rsidRPr="00F36F1A" w:rsidRDefault="00F6617F" w:rsidP="00F36F1A">
      <w:pPr>
        <w:pStyle w:val="ListParagraph"/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lang w:val="la-Latn"/>
        </w:rPr>
      </w:pP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>EU008 – izvoz rob</w:t>
      </w:r>
      <w:r w:rsidR="000254F5" w:rsidRPr="00F36F1A">
        <w:rPr>
          <w:rFonts w:ascii="Times New Roman" w:hAnsi="Times New Roman" w:cs="Times New Roman"/>
          <w:color w:val="000000" w:themeColor="text1"/>
          <w:szCs w:val="24"/>
        </w:rPr>
        <w:t>e</w:t>
      </w:r>
      <w:r w:rsidR="00F118BC"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vezane</w:t>
      </w:r>
      <w:r w:rsidRPr="00F36F1A">
        <w:rPr>
          <w:rFonts w:ascii="Times New Roman" w:hAnsi="Times New Roman" w:cs="Times New Roman"/>
          <w:color w:val="000000" w:themeColor="text1"/>
          <w:szCs w:val="24"/>
          <w:lang w:val="la-Latn"/>
        </w:rPr>
        <w:t xml:space="preserve"> za enkripciju</w:t>
      </w:r>
    </w:p>
    <w:p w14:paraId="75D9B9DA" w14:textId="77777777" w:rsidR="005B34C7" w:rsidRPr="00AE4043" w:rsidRDefault="005B34C7" w:rsidP="00AE4043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3CBBE292" w14:textId="77777777" w:rsidR="005B34C7" w:rsidRPr="00AE4043" w:rsidRDefault="00F83292" w:rsidP="00AE404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4519DB" w:rsidRPr="00AE4043">
        <w:rPr>
          <w:rFonts w:ascii="Times New Roman" w:hAnsi="Times New Roman" w:cs="Times New Roman"/>
          <w:b/>
          <w:color w:val="000000" w:themeColor="text1"/>
          <w:sz w:val="24"/>
          <w:szCs w:val="24"/>
          <w:lang w:val="la-Latn"/>
        </w:rPr>
        <w:t xml:space="preserve">OSTALE AKTIVNOSTI </w:t>
      </w:r>
    </w:p>
    <w:p w14:paraId="0EEFD6FB" w14:textId="77777777" w:rsidR="00053B4C" w:rsidRPr="00AE4043" w:rsidRDefault="00F83292" w:rsidP="00AE4043">
      <w:pPr>
        <w:rPr>
          <w:rFonts w:ascii="Times New Roman" w:hAnsi="Times New Roman" w:cs="Times New Roman"/>
          <w:b/>
          <w:bCs/>
          <w:sz w:val="24"/>
          <w:szCs w:val="24"/>
          <w:lang w:val="la-Latn"/>
        </w:rPr>
      </w:pPr>
      <w:r w:rsidRPr="00AE4043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7E5023" w:rsidRPr="00AE40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5023" w:rsidRPr="00AE4043">
        <w:rPr>
          <w:rFonts w:ascii="Times New Roman" w:hAnsi="Times New Roman" w:cs="Times New Roman"/>
          <w:b/>
          <w:bCs/>
          <w:sz w:val="24"/>
          <w:szCs w:val="24"/>
          <w:lang w:val="la-Latn"/>
        </w:rPr>
        <w:t>uradnja s industrijom</w:t>
      </w:r>
      <w:r w:rsidR="007E5023" w:rsidRPr="00AE4043">
        <w:rPr>
          <w:rFonts w:ascii="Times New Roman" w:hAnsi="Times New Roman" w:cs="Times New Roman"/>
          <w:b/>
          <w:bCs/>
          <w:sz w:val="24"/>
          <w:szCs w:val="24"/>
        </w:rPr>
        <w:t xml:space="preserve"> i akademskom zajednicom </w:t>
      </w:r>
    </w:p>
    <w:p w14:paraId="221709CB" w14:textId="2A2F3333" w:rsidR="00053B4C" w:rsidRPr="00AE4043" w:rsidRDefault="00A41E5F" w:rsidP="00AE40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provedbi </w:t>
      </w:r>
      <w:r w:rsidR="00053B4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Nacionalne strategije i Akcijskog plana za suzbijanje širenja oružja za masovno uništenje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potrebno je</w:t>
      </w:r>
      <w:r w:rsidR="00053B4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podizanje svijesti industrije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akademske zajednice </w:t>
      </w:r>
      <w:r w:rsidR="00053B4C"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važnosti poslovanja sukladno zakonskoj regulativi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Provođenje učinkovite kontrole izvoza postiže se bliskom suradnjom industrije, odnosno akademske zajednice i Ministarstva vanjskih i europskih poslova. U 2022. godini Ministarstvo je putem bilateralnih konzultacija pružalo informacije vezane za zakonodavni okvir i postupak izdavanja dozvola, </w:t>
      </w:r>
      <w:r w:rsidR="00334A78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tumačenje sankcijskih propisa</w:t>
      </w:r>
      <w:r w:rsidR="00F11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756CFD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52D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u najvećoj mjeri</w:t>
      </w:r>
      <w:r w:rsidR="0062052D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</w:t>
      </w:r>
      <w:r w:rsidR="00F118B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2052D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vezani za </w:t>
      </w:r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izvoz u Rusiju i </w:t>
      </w:r>
      <w:proofErr w:type="spellStart"/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Bjelarus</w:t>
      </w:r>
      <w:proofErr w:type="spellEnd"/>
      <w:r w:rsidR="00361A3C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8DF6378" w14:textId="77777777" w:rsidR="005B34C7" w:rsidRPr="00AE4043" w:rsidRDefault="005B34C7" w:rsidP="00AE40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F7F1AC" w14:textId="77777777" w:rsidR="005B34C7" w:rsidRPr="00AE4043" w:rsidRDefault="00F83292" w:rsidP="00AE40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 </w:t>
      </w:r>
      <w:r w:rsidR="00883676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MEĐUNARODNE AKTIVNOSTI </w:t>
      </w:r>
    </w:p>
    <w:p w14:paraId="2EFF2FB9" w14:textId="77777777" w:rsidR="00883676" w:rsidRPr="00AE4043" w:rsidRDefault="00F83292" w:rsidP="00AE40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3.2.1. Forum o izvoznoj kontroli </w:t>
      </w:r>
    </w:p>
    <w:p w14:paraId="0ED696B0" w14:textId="77777777" w:rsidR="00F83292" w:rsidRPr="00AE4043" w:rsidRDefault="00F83292" w:rsidP="00AE40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organizaciji Europske komisije i češkog predsjedanja Vijećem održan je </w:t>
      </w:r>
      <w:r w:rsidR="00BA31C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Forum o izvoznoj kontroli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 </w:t>
      </w:r>
      <w:proofErr w:type="spellStart"/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Briselu</w:t>
      </w:r>
      <w:proofErr w:type="spellEnd"/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prosinca 2022. uz sudjelovanje stručnjak</w:t>
      </w:r>
      <w:r w:rsidR="00BA31C3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država članica, Europskog parlamenta, industrije, znanstvene zajednice i civilnog društva. </w:t>
      </w:r>
      <w:r w:rsidR="0084533B"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>Forum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stavio naglasak na  izvoznu kontrola u kontekstu prijenosa znanja i tehnologije u akademskoj zajednici, primjene sa</w:t>
      </w:r>
      <w:r w:rsidR="00F118BC">
        <w:rPr>
          <w:rFonts w:ascii="Times New Roman" w:hAnsi="Times New Roman" w:cs="Times New Roman"/>
          <w:color w:val="000000" w:themeColor="text1"/>
          <w:sz w:val="24"/>
          <w:szCs w:val="24"/>
        </w:rPr>
        <w:t>nkcija prema Rusiji, te suradnju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zemljama partnerima. </w:t>
      </w:r>
    </w:p>
    <w:p w14:paraId="595FA68B" w14:textId="77777777" w:rsidR="00883676" w:rsidRPr="00AE4043" w:rsidRDefault="00AE134D" w:rsidP="00AE40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3.2.2. RACVIAC </w:t>
      </w:r>
      <w:r w:rsidR="00BA31C3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Regional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Arms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Control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Verification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and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Implementation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Assistance</w:t>
      </w:r>
      <w:proofErr w:type="spellEnd"/>
      <w:r w:rsidR="00BA31C3" w:rsidRPr="00AE4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Centre</w:t>
      </w:r>
      <w:r w:rsidR="00BA31C3" w:rsidRPr="00AE4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4584FCB6" w14:textId="3315F95A" w:rsidR="00054501" w:rsidRDefault="00580636" w:rsidP="00D732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Republika Hrvatska je aktivni sudionik RACVIAC C-WMD Network Dual Use Projekta s još 9 zemalja sudionika jugoistočne Europe (Albanija, Bosna i Hercegov</w:t>
      </w:r>
      <w:r w:rsidR="005250D8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ina, Bugarska, Kosovo, Moldova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, Crna Gora, Sjeverna Makedonija, Rumunjska i Srbija)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koji ima za cilj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podizanje razine svijesti o važnosti suradnje, razmjen</w:t>
      </w:r>
      <w:r w:rsidR="00BA31C3" w:rsidRPr="00AE404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iskustava kroz treninge i sastanke za kontrolu strateške trgovine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Tijekom 2022. godine dogovoren je 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razvoj RACVIAC C-WMD Network Phase 2 projekta usmjerenog na kreiranje zajedničkog modela </w:t>
      </w:r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  <w:lang w:val="la-Latn" w:eastAsia="hr-HR"/>
        </w:rPr>
        <w:t>dual use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</w:t>
      </w:r>
      <w:r w:rsidRPr="00AE4043">
        <w:rPr>
          <w:rFonts w:ascii="Times New Roman" w:hAnsi="Times New Roman" w:cs="Times New Roman"/>
          <w:i/>
          <w:color w:val="000000" w:themeColor="text1"/>
          <w:sz w:val="24"/>
          <w:szCs w:val="24"/>
          <w:lang w:val="la-Latn" w:eastAsia="hr-HR"/>
        </w:rPr>
        <w:t>outreach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programa</w:t>
      </w:r>
      <w:r w:rsidRPr="00AE404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akademsku zajednicu i industriju.</w:t>
      </w:r>
    </w:p>
    <w:p w14:paraId="19DFA045" w14:textId="77777777" w:rsidR="00EC38AF" w:rsidRDefault="00EC38AF" w:rsidP="00D732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3143BDA" w14:textId="77777777" w:rsidR="00054501" w:rsidRPr="00054501" w:rsidRDefault="00054501" w:rsidP="006E5DD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450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4. </w:t>
      </w:r>
      <w:r w:rsidRPr="00054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REZULTATI KONTROLE IZVOZA ROBE S DVOJNOM NAMJENOM U 2022. GODINI</w:t>
      </w:r>
    </w:p>
    <w:p w14:paraId="2A48EA4C" w14:textId="77777777" w:rsidR="00054501" w:rsidRPr="006E5DD9" w:rsidRDefault="00054501" w:rsidP="006E5D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11FC1" w14:textId="77777777" w:rsidR="00054501" w:rsidRDefault="00054501" w:rsidP="006E5D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</w:pPr>
      <w:r w:rsidRPr="00D7325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Ministarstvo vanjskih i europskih poslova u 2022. godini je pri izdavanju izvoznih dozvola postupalo temeljem Uredbe (EU) 2021/821, Uredbe (EZ) 765/2006 i Zakona o nadzoru robe s dvojnom namjenom. </w:t>
      </w:r>
    </w:p>
    <w:p w14:paraId="0AEB4D6B" w14:textId="77777777" w:rsidR="00054501" w:rsidRDefault="00054501" w:rsidP="006E5D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</w:pPr>
      <w:r w:rsidRPr="00D7325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Po Uredbi (EZ) 765/2006 postupilo se prilikom izdavanja individualnih izvoznih dozvola za izvoz robe s dvojnom namjenom i naprednom tehnologijom u Bjelarus primjenom članaka 1.e. i 1.f. koji uređuju odstupanja od zabrane izvoza zabranjene robe </w:t>
      </w:r>
      <w:r w:rsidR="008D15A2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navedene u Prilogu V.a</w:t>
      </w:r>
      <w:r w:rsidRPr="00D73253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</w:t>
      </w:r>
    </w:p>
    <w:p w14:paraId="794C837F" w14:textId="77777777" w:rsidR="000231F8" w:rsidRDefault="00EC38AF" w:rsidP="008626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</w:pP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U 2022. godini Ministarstvo vanjskih i europskih poslova je izdalo 61 individualnu izvoznu dozvolu i 2 globalne izvozne dozvole, što čini ukupan </w:t>
      </w:r>
      <w:r w:rsidR="0000006D"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broj od 63 izvozne dozvole. U odnosu </w:t>
      </w: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na 2021. godinu kada je </w:t>
      </w:r>
      <w:r w:rsidR="0000006D"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bilo </w:t>
      </w: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izdano </w:t>
      </w:r>
      <w:r w:rsidR="0000006D"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37 </w:t>
      </w: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dozvola (34 individualne i 3 globalne dozvole)</w:t>
      </w:r>
      <w:r w:rsidR="00DD604A"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u 2022. godini </w:t>
      </w:r>
      <w:r w:rsidR="000231F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="000231F8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došlo do </w:t>
      </w: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>povećanj</w:t>
      </w:r>
      <w:r w:rsidR="00FC590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A949DE">
        <w:rPr>
          <w:rFonts w:ascii="Times New Roman" w:hAnsi="Times New Roman" w:cs="Times New Roman"/>
          <w:color w:val="000000" w:themeColor="text1"/>
          <w:sz w:val="24"/>
          <w:szCs w:val="24"/>
          <w:lang w:val="la-Latn" w:eastAsia="hr-HR"/>
        </w:rPr>
        <w:t xml:space="preserve"> broja izdanih dozvola. </w:t>
      </w:r>
    </w:p>
    <w:p w14:paraId="2CC53701" w14:textId="77777777" w:rsidR="00667C53" w:rsidRDefault="000231F8" w:rsidP="008626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Temeljem Uredbe (EU) 2021/821 izdan je najveći broj dozvola za izvoz robe</w:t>
      </w:r>
      <w:r w:rsidR="00B11DC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kategorije 1 (posebni materijali i srodna oprema),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kategorije</w:t>
      </w:r>
      <w:r w:rsidR="00B11DC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5 (telekomunikacije) i kate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gorije 2 (obrada materijala</w:t>
      </w:r>
      <w:r w:rsidR="00AC609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="00BF139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i to u </w:t>
      </w:r>
      <w:r w:rsidR="00AC609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Bosnu i Hercegovinu, Srbiju i Albaniju. </w:t>
      </w:r>
    </w:p>
    <w:p w14:paraId="240A850B" w14:textId="77777777" w:rsidR="00786873" w:rsidRDefault="0051143D" w:rsidP="008626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 2022. godini ukinuta je globalna izvozna dozvola 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Bjelarus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Temeljem Uredbe (EZ) 765/2006 </w:t>
      </w:r>
      <w:r w:rsidR="001A684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izdano je 16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izvoznih dozvola primjenom članaka 1.e. i 1.f. koji propisuju mogućnost izvoza robe i tehnologije</w:t>
      </w:r>
      <w:r w:rsidR="009B40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7389B043" w14:textId="77777777" w:rsidR="00B476F3" w:rsidRDefault="00BF1395" w:rsidP="00334F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Ukupna vrijednost izdanih dozvola u 2022. godini iznosi </w:t>
      </w:r>
      <w:r w:rsidR="00334F2C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25.202.803,26 EUR d</w:t>
      </w:r>
      <w:r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ok </w:t>
      </w:r>
      <w:r w:rsidR="00F118BC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realizirana vrijednost izvoza robe prema d</w:t>
      </w:r>
      <w:r w:rsidR="00F118BC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ozvolama </w:t>
      </w:r>
      <w:r w:rsidR="00B476F3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izdanim u 2022. godini </w:t>
      </w:r>
      <w:r w:rsidR="00F118BC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iznosila </w:t>
      </w:r>
      <w:r w:rsidR="00334F2C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3.635.343,30 EUR</w:t>
      </w:r>
      <w:r w:rsidR="00334F2C" w:rsidRPr="00622C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.</w:t>
      </w:r>
    </w:p>
    <w:p w14:paraId="6CB38A5C" w14:textId="77777777" w:rsidR="00622CF3" w:rsidRDefault="00622CF3" w:rsidP="00622CF3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B0F6D0" w14:textId="13C9AC7D" w:rsidR="00622CF3" w:rsidRPr="00622CF3" w:rsidRDefault="00B476F3" w:rsidP="00622C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Ukupna realizirana vrijednost izvoza robe u 2022.g. uključuje realiziranu vrijednost izvoza robe prema individualnim dozvolama izdanim 2022.g. (Tablic</w:t>
      </w:r>
      <w:r w:rsidR="00123D4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a 3), </w:t>
      </w:r>
      <w:r w:rsid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individualnim </w:t>
      </w:r>
      <w:r w:rsidR="00123D4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dozvolama izdanim 2021.g. i realiziranim u 2022.g.</w:t>
      </w:r>
      <w:r w:rsidR="007A46E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(Tablica 8)</w:t>
      </w:r>
      <w:r w:rsidR="00123D4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, 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A46E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globalnim dozvolama izdanim 2022.g.</w:t>
      </w:r>
      <w:r w:rsidR="0092581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i realiziranim u 2022.g. </w:t>
      </w:r>
      <w:r w:rsidR="007A46E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(Tablica 5) i </w:t>
      </w:r>
      <w:r w:rsidR="0092581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globalnim izvoznim dozvolama izdanim </w:t>
      </w:r>
      <w:r w:rsidR="007A46E6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2021.g.</w:t>
      </w:r>
      <w:r w:rsidR="00925818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realiziranim u 2022.g. </w:t>
      </w:r>
      <w:r w:rsid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(Tablica 6) </w:t>
      </w:r>
      <w:r w:rsidR="00D020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iznosi </w:t>
      </w:r>
      <w:r w:rsidR="00622CF3" w:rsidRPr="00622CF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4.948.531,17 EUR. </w:t>
      </w:r>
    </w:p>
    <w:p w14:paraId="5CDC0BAB" w14:textId="77777777" w:rsidR="00BF1395" w:rsidRPr="0051143D" w:rsidRDefault="00BF1395" w:rsidP="008626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0B89477" w14:textId="37128B87" w:rsidR="00740147" w:rsidRDefault="00054501" w:rsidP="00667C53">
      <w:pPr>
        <w:pStyle w:val="Caption"/>
        <w:keepNext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Tablica </w:t>
      </w: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begin"/>
      </w: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667C5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a-Latn"/>
        </w:rPr>
        <w:t>1</w:t>
      </w: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end"/>
      </w:r>
    </w:p>
    <w:p w14:paraId="44243794" w14:textId="77777777" w:rsidR="00667C53" w:rsidRPr="00667C53" w:rsidRDefault="00054501" w:rsidP="00667C53">
      <w:pPr>
        <w:pStyle w:val="Caption"/>
        <w:keepNext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667C53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ukupno izdanih dozvola u 2022.</w:t>
      </w:r>
    </w:p>
    <w:tbl>
      <w:tblPr>
        <w:tblStyle w:val="TableGrid"/>
        <w:tblW w:w="6660" w:type="dxa"/>
        <w:tblLook w:val="04A0" w:firstRow="1" w:lastRow="0" w:firstColumn="1" w:lastColumn="0" w:noHBand="0" w:noVBand="1"/>
      </w:tblPr>
      <w:tblGrid>
        <w:gridCol w:w="4673"/>
        <w:gridCol w:w="1027"/>
        <w:gridCol w:w="960"/>
      </w:tblGrid>
      <w:tr w:rsidR="00667C53" w:rsidRPr="00401125" w14:paraId="37460BB6" w14:textId="77777777" w:rsidTr="00740147">
        <w:trPr>
          <w:trHeight w:val="670"/>
        </w:trPr>
        <w:tc>
          <w:tcPr>
            <w:tcW w:w="4673" w:type="dxa"/>
            <w:noWrap/>
            <w:hideMark/>
          </w:tcPr>
          <w:p w14:paraId="3C74F1E6" w14:textId="77777777" w:rsidR="00740147" w:rsidRPr="00401125" w:rsidRDefault="00740147" w:rsidP="00BF16D2">
            <w:pPr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  <w:p w14:paraId="6D70CE48" w14:textId="77777777" w:rsidR="00862673" w:rsidRPr="00401125" w:rsidRDefault="00667C53" w:rsidP="00BF16D2">
            <w:pPr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 xml:space="preserve">Individualne izvozne dozvole (DI) </w:t>
            </w:r>
          </w:p>
        </w:tc>
        <w:tc>
          <w:tcPr>
            <w:tcW w:w="1027" w:type="dxa"/>
          </w:tcPr>
          <w:p w14:paraId="1BA6962C" w14:textId="77777777" w:rsidR="00667C53" w:rsidRPr="00401125" w:rsidRDefault="00667C53" w:rsidP="00BF16D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960" w:type="dxa"/>
            <w:noWrap/>
            <w:hideMark/>
          </w:tcPr>
          <w:p w14:paraId="60DBCCC1" w14:textId="77777777" w:rsidR="00740147" w:rsidRPr="00401125" w:rsidRDefault="00740147" w:rsidP="00740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  <w:p w14:paraId="6B4AFFD9" w14:textId="77777777" w:rsidR="00740147" w:rsidRPr="00401125" w:rsidRDefault="00667C53" w:rsidP="00740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61</w:t>
            </w:r>
          </w:p>
        </w:tc>
      </w:tr>
      <w:tr w:rsidR="00667C53" w:rsidRPr="00401125" w14:paraId="16A3C9A6" w14:textId="77777777" w:rsidTr="00DF26E3">
        <w:trPr>
          <w:trHeight w:val="186"/>
        </w:trPr>
        <w:tc>
          <w:tcPr>
            <w:tcW w:w="4673" w:type="dxa"/>
            <w:noWrap/>
          </w:tcPr>
          <w:p w14:paraId="153C23E8" w14:textId="77777777" w:rsidR="00740147" w:rsidRPr="00401125" w:rsidRDefault="00740147" w:rsidP="00BF16D2">
            <w:pPr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  <w:p w14:paraId="3F3A2624" w14:textId="77777777" w:rsidR="00667C53" w:rsidRPr="00401125" w:rsidRDefault="00667C53" w:rsidP="00BF16D2">
            <w:pPr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Globalne izvozne dozvole (DG)</w:t>
            </w:r>
          </w:p>
        </w:tc>
        <w:tc>
          <w:tcPr>
            <w:tcW w:w="1027" w:type="dxa"/>
          </w:tcPr>
          <w:p w14:paraId="34D60906" w14:textId="77777777" w:rsidR="00667C53" w:rsidRPr="00401125" w:rsidRDefault="00667C53" w:rsidP="00BF1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960" w:type="dxa"/>
            <w:noWrap/>
          </w:tcPr>
          <w:p w14:paraId="1224EBC5" w14:textId="77777777" w:rsidR="00740147" w:rsidRPr="00401125" w:rsidRDefault="00740147" w:rsidP="00740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        </w:t>
            </w:r>
          </w:p>
          <w:p w14:paraId="2D75AE13" w14:textId="77777777" w:rsidR="00667C53" w:rsidRPr="00401125" w:rsidRDefault="00667C53" w:rsidP="00740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</w:tr>
      <w:tr w:rsidR="00667C53" w:rsidRPr="00401125" w14:paraId="5B01A2B3" w14:textId="77777777" w:rsidTr="00667C53">
        <w:tc>
          <w:tcPr>
            <w:tcW w:w="4673" w:type="dxa"/>
          </w:tcPr>
          <w:p w14:paraId="247BA85E" w14:textId="77777777" w:rsidR="00740147" w:rsidRPr="00401125" w:rsidRDefault="00740147" w:rsidP="00054501">
            <w:pPr>
              <w:rPr>
                <w:rFonts w:ascii="Times New Roman" w:hAnsi="Times New Roman" w:cs="Times New Roman"/>
              </w:rPr>
            </w:pPr>
          </w:p>
          <w:p w14:paraId="36F6E76E" w14:textId="77777777" w:rsidR="00667C53" w:rsidRPr="00401125" w:rsidRDefault="00667C53" w:rsidP="00054501">
            <w:pPr>
              <w:rPr>
                <w:rFonts w:ascii="Times New Roman" w:hAnsi="Times New Roman" w:cs="Times New Roman"/>
                <w:b/>
              </w:rPr>
            </w:pPr>
            <w:r w:rsidRPr="00401125">
              <w:rPr>
                <w:rFonts w:ascii="Times New Roman" w:hAnsi="Times New Roman" w:cs="Times New Roman"/>
                <w:b/>
              </w:rPr>
              <w:t xml:space="preserve">Ukupno </w:t>
            </w:r>
          </w:p>
        </w:tc>
        <w:tc>
          <w:tcPr>
            <w:tcW w:w="1027" w:type="dxa"/>
          </w:tcPr>
          <w:p w14:paraId="3919332A" w14:textId="77777777" w:rsidR="00667C53" w:rsidRPr="00401125" w:rsidRDefault="00667C53" w:rsidP="00054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6CCA1AF" w14:textId="77777777" w:rsidR="00740147" w:rsidRPr="00401125" w:rsidRDefault="00667C53" w:rsidP="00054501">
            <w:pPr>
              <w:rPr>
                <w:rFonts w:ascii="Times New Roman" w:hAnsi="Times New Roman" w:cs="Times New Roman"/>
              </w:rPr>
            </w:pPr>
            <w:r w:rsidRPr="00401125">
              <w:rPr>
                <w:rFonts w:ascii="Times New Roman" w:hAnsi="Times New Roman" w:cs="Times New Roman"/>
              </w:rPr>
              <w:t xml:space="preserve">   </w:t>
            </w:r>
          </w:p>
          <w:p w14:paraId="43637EBB" w14:textId="77777777" w:rsidR="00667C53" w:rsidRPr="00401125" w:rsidRDefault="00740147" w:rsidP="00054501">
            <w:pPr>
              <w:rPr>
                <w:rFonts w:ascii="Times New Roman" w:hAnsi="Times New Roman" w:cs="Times New Roman"/>
                <w:b/>
              </w:rPr>
            </w:pPr>
            <w:r w:rsidRPr="00401125">
              <w:rPr>
                <w:rFonts w:ascii="Times New Roman" w:hAnsi="Times New Roman" w:cs="Times New Roman"/>
              </w:rPr>
              <w:t xml:space="preserve">   </w:t>
            </w:r>
            <w:r w:rsidR="00667C53" w:rsidRPr="00401125">
              <w:rPr>
                <w:rFonts w:ascii="Times New Roman" w:hAnsi="Times New Roman" w:cs="Times New Roman"/>
              </w:rPr>
              <w:t xml:space="preserve"> </w:t>
            </w:r>
            <w:r w:rsidR="00401125" w:rsidRPr="00401125">
              <w:rPr>
                <w:rFonts w:ascii="Times New Roman" w:hAnsi="Times New Roman" w:cs="Times New Roman"/>
              </w:rPr>
              <w:t xml:space="preserve"> </w:t>
            </w:r>
            <w:r w:rsidR="00667C53" w:rsidRPr="00401125">
              <w:rPr>
                <w:rFonts w:ascii="Times New Roman" w:hAnsi="Times New Roman" w:cs="Times New Roman"/>
                <w:b/>
              </w:rPr>
              <w:t>63</w:t>
            </w:r>
          </w:p>
        </w:tc>
      </w:tr>
    </w:tbl>
    <w:p w14:paraId="68CB93E7" w14:textId="77777777" w:rsidR="00740147" w:rsidRDefault="00740147" w:rsidP="00054501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64F5EDD1" w14:textId="77777777" w:rsidR="000270B7" w:rsidRPr="000270B7" w:rsidRDefault="000270B7" w:rsidP="000270B7">
      <w:pPr>
        <w:rPr>
          <w:lang w:val="la-Latn" w:eastAsia="ja-JP"/>
        </w:rPr>
      </w:pPr>
      <w:r>
        <w:rPr>
          <w:noProof/>
          <w:lang w:eastAsia="hr-HR"/>
        </w:rPr>
        <w:drawing>
          <wp:inline distT="0" distB="0" distL="0" distR="0" wp14:anchorId="7F156398" wp14:editId="282C545B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AF4C79" w14:textId="77777777" w:rsidR="00F36F1A" w:rsidRDefault="00F36F1A">
      <w:pPr>
        <w:rPr>
          <w:rFonts w:ascii="Times New Roman" w:hAnsi="Times New Roman" w:cs="Times New Roman"/>
          <w:b/>
          <w:bCs/>
          <w:color w:val="000000" w:themeColor="text1"/>
          <w:kern w:val="20"/>
          <w:sz w:val="24"/>
          <w:szCs w:val="24"/>
          <w:lang w:val="la-Latn"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br w:type="page"/>
      </w:r>
    </w:p>
    <w:p w14:paraId="49B15027" w14:textId="172A23E2" w:rsidR="00740147" w:rsidRDefault="00054501" w:rsidP="00740147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begin"/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74014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a-Latn"/>
        </w:rPr>
        <w:t>2</w:t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end"/>
      </w:r>
    </w:p>
    <w:p w14:paraId="325CD138" w14:textId="77777777" w:rsidR="007E246E" w:rsidRDefault="007E246E" w:rsidP="00740147">
      <w:pPr>
        <w:pStyle w:val="Caption"/>
        <w:keepNext/>
        <w:spacing w:before="0" w:after="0" w:line="360" w:lineRule="auto"/>
        <w:jc w:val="both"/>
        <w:rPr>
          <w:b w:val="0"/>
          <w:bCs w:val="0"/>
          <w:color w:val="auto"/>
          <w:kern w:val="0"/>
          <w:sz w:val="22"/>
          <w:szCs w:val="22"/>
          <w:lang w:val="la-Latn"/>
        </w:rPr>
      </w:pPr>
    </w:p>
    <w:p w14:paraId="2DD31E26" w14:textId="77777777" w:rsidR="00054501" w:rsidRDefault="00054501" w:rsidP="00740147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</w:pP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izdanih individualnih izvoznih dozvola po kategorijama prema broju dozvola</w:t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2022. godini</w:t>
      </w:r>
      <w:r w:rsidRPr="0074014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  <w:t>*</w:t>
      </w:r>
    </w:p>
    <w:p w14:paraId="17385240" w14:textId="77777777" w:rsidR="00740147" w:rsidRPr="000122E1" w:rsidRDefault="00740147" w:rsidP="00740147">
      <w:pPr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Style w:val="TableGrid"/>
        <w:tblW w:w="7790" w:type="dxa"/>
        <w:tblLook w:val="04A0" w:firstRow="1" w:lastRow="0" w:firstColumn="1" w:lastColumn="0" w:noHBand="0" w:noVBand="1"/>
      </w:tblPr>
      <w:tblGrid>
        <w:gridCol w:w="6825"/>
        <w:gridCol w:w="965"/>
      </w:tblGrid>
      <w:tr w:rsidR="00054501" w:rsidRPr="000122E1" w14:paraId="642816DD" w14:textId="77777777" w:rsidTr="0076323B">
        <w:trPr>
          <w:trHeight w:val="300"/>
        </w:trPr>
        <w:tc>
          <w:tcPr>
            <w:tcW w:w="6825" w:type="dxa"/>
            <w:noWrap/>
            <w:hideMark/>
          </w:tcPr>
          <w:p w14:paraId="66B82ECC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>Kategorija 1 (Posebni materijali i srodna oprema)</w:t>
            </w:r>
          </w:p>
        </w:tc>
        <w:tc>
          <w:tcPr>
            <w:tcW w:w="965" w:type="dxa"/>
            <w:noWrap/>
            <w:hideMark/>
          </w:tcPr>
          <w:p w14:paraId="42E8483D" w14:textId="77777777" w:rsidR="00054501" w:rsidRPr="000122E1" w:rsidRDefault="0005450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054501" w:rsidRPr="000122E1" w14:paraId="606EB0B7" w14:textId="77777777" w:rsidTr="0076323B">
        <w:trPr>
          <w:trHeight w:val="300"/>
        </w:trPr>
        <w:tc>
          <w:tcPr>
            <w:tcW w:w="6825" w:type="dxa"/>
            <w:noWrap/>
            <w:hideMark/>
          </w:tcPr>
          <w:p w14:paraId="7101F9CB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>Kategorija 2 (Obrada materijala)</w:t>
            </w:r>
          </w:p>
        </w:tc>
        <w:tc>
          <w:tcPr>
            <w:tcW w:w="965" w:type="dxa"/>
            <w:noWrap/>
            <w:hideMark/>
          </w:tcPr>
          <w:p w14:paraId="73D8D4F5" w14:textId="77777777" w:rsidR="00054501" w:rsidRPr="000122E1" w:rsidRDefault="0005450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54501" w:rsidRPr="000122E1" w14:paraId="23D1D924" w14:textId="77777777" w:rsidTr="0076323B">
        <w:trPr>
          <w:trHeight w:val="300"/>
        </w:trPr>
        <w:tc>
          <w:tcPr>
            <w:tcW w:w="6825" w:type="dxa"/>
            <w:noWrap/>
          </w:tcPr>
          <w:p w14:paraId="117E441C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>Kategorija 5 (Telekomunikacije i „sigurnost informiranja“)</w:t>
            </w:r>
          </w:p>
        </w:tc>
        <w:tc>
          <w:tcPr>
            <w:tcW w:w="965" w:type="dxa"/>
            <w:noWrap/>
          </w:tcPr>
          <w:p w14:paraId="3407A1AA" w14:textId="77777777" w:rsidR="00054501" w:rsidRPr="000122E1" w:rsidRDefault="0005450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054501" w:rsidRPr="000122E1" w14:paraId="06548DB5" w14:textId="77777777" w:rsidTr="0076323B">
        <w:trPr>
          <w:trHeight w:val="300"/>
        </w:trPr>
        <w:tc>
          <w:tcPr>
            <w:tcW w:w="6825" w:type="dxa"/>
            <w:noWrap/>
          </w:tcPr>
          <w:p w14:paraId="44840083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a-Latn" w:eastAsia="hr-HR"/>
              </w:rPr>
              <w:t>Kategorija 6</w:t>
            </w:r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(Senzori i laseri) </w:t>
            </w:r>
          </w:p>
        </w:tc>
        <w:tc>
          <w:tcPr>
            <w:tcW w:w="965" w:type="dxa"/>
            <w:noWrap/>
          </w:tcPr>
          <w:p w14:paraId="1714718B" w14:textId="29CF049C" w:rsidR="00054501" w:rsidRPr="000122E1" w:rsidRDefault="000122E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4501"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54501" w:rsidRPr="000122E1" w14:paraId="3F8748CC" w14:textId="77777777" w:rsidTr="0076323B">
        <w:trPr>
          <w:trHeight w:val="300"/>
        </w:trPr>
        <w:tc>
          <w:tcPr>
            <w:tcW w:w="6825" w:type="dxa"/>
            <w:noWrap/>
          </w:tcPr>
          <w:p w14:paraId="74CD12AC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>Kategorija 9 (Zračni i svemirski prostor i pogonski sustavi)</w:t>
            </w:r>
          </w:p>
        </w:tc>
        <w:tc>
          <w:tcPr>
            <w:tcW w:w="965" w:type="dxa"/>
            <w:noWrap/>
          </w:tcPr>
          <w:p w14:paraId="7A5239FB" w14:textId="05F090FE" w:rsidR="00054501" w:rsidRPr="000122E1" w:rsidRDefault="000122E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4501"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54501" w:rsidRPr="000122E1" w14:paraId="1FE67F79" w14:textId="77777777" w:rsidTr="0076323B">
        <w:trPr>
          <w:trHeight w:val="315"/>
        </w:trPr>
        <w:tc>
          <w:tcPr>
            <w:tcW w:w="6825" w:type="dxa"/>
            <w:noWrap/>
            <w:hideMark/>
          </w:tcPr>
          <w:p w14:paraId="44008244" w14:textId="77777777" w:rsidR="00054501" w:rsidRPr="000122E1" w:rsidRDefault="00054501" w:rsidP="00BF16D2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>Sveobuhvatna kontrola</w:t>
            </w: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(tzv.</w:t>
            </w: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a-Latn"/>
              </w:rPr>
              <w:t xml:space="preserve"> „Catch-all“</w:t>
            </w: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5" w:type="dxa"/>
            <w:noWrap/>
            <w:hideMark/>
          </w:tcPr>
          <w:p w14:paraId="62924178" w14:textId="78F71C37" w:rsidR="00054501" w:rsidRPr="000122E1" w:rsidRDefault="000122E1" w:rsidP="00BF16D2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4501"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54501" w:rsidRPr="000122E1" w14:paraId="426FB30D" w14:textId="77777777" w:rsidTr="00BF16D2">
        <w:tc>
          <w:tcPr>
            <w:tcW w:w="6825" w:type="dxa"/>
          </w:tcPr>
          <w:p w14:paraId="68B5077E" w14:textId="77777777" w:rsidR="00054501" w:rsidRPr="000122E1" w:rsidRDefault="00054501" w:rsidP="00BF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Prilog </w:t>
            </w:r>
            <w:proofErr w:type="spellStart"/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V.a</w:t>
            </w:r>
            <w:proofErr w:type="spellEnd"/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Uredba (EZ) 765/2006</w:t>
            </w:r>
          </w:p>
        </w:tc>
        <w:tc>
          <w:tcPr>
            <w:tcW w:w="965" w:type="dxa"/>
          </w:tcPr>
          <w:p w14:paraId="03ED5201" w14:textId="77777777" w:rsidR="00054501" w:rsidRPr="000122E1" w:rsidRDefault="00054501" w:rsidP="00BF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23B" w:rsidRPr="000122E1" w14:paraId="1613FFF7" w14:textId="77777777" w:rsidTr="0076323B">
        <w:tc>
          <w:tcPr>
            <w:tcW w:w="6825" w:type="dxa"/>
          </w:tcPr>
          <w:p w14:paraId="5234C686" w14:textId="77777777" w:rsidR="0076323B" w:rsidRPr="000122E1" w:rsidRDefault="0076323B" w:rsidP="00054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965" w:type="dxa"/>
          </w:tcPr>
          <w:p w14:paraId="4DB0E37D" w14:textId="6C08D48D" w:rsidR="0076323B" w:rsidRPr="000122E1" w:rsidRDefault="0076323B" w:rsidP="000545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012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</w:tr>
    </w:tbl>
    <w:p w14:paraId="184F5A22" w14:textId="77777777" w:rsidR="007E246E" w:rsidRPr="000122E1" w:rsidRDefault="007E246E" w:rsidP="007E246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22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*Napomena: Pojedine  individualne izvozne dozvole sadrže više različitih  kategorija robe </w:t>
      </w:r>
    </w:p>
    <w:p w14:paraId="3741950E" w14:textId="77777777" w:rsidR="00401125" w:rsidRDefault="00401125" w:rsidP="00054501">
      <w:pPr>
        <w:rPr>
          <w:color w:val="000000" w:themeColor="text1"/>
          <w:sz w:val="24"/>
          <w:szCs w:val="24"/>
        </w:rPr>
      </w:pPr>
    </w:p>
    <w:p w14:paraId="6A001798" w14:textId="77777777" w:rsidR="007E246E" w:rsidRDefault="007E246E" w:rsidP="00054501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33743EFC" wp14:editId="5EE8DAFE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096166F" w14:textId="77777777" w:rsidR="000F4283" w:rsidRDefault="000F4283" w:rsidP="00054501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38E76F99" w14:textId="77777777" w:rsidR="00401125" w:rsidRDefault="00054501" w:rsidP="00054501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Tablica </w:t>
      </w: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begin"/>
      </w: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97406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a-Latn"/>
        </w:rPr>
        <w:t>3</w:t>
      </w: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fldChar w:fldCharType="end"/>
      </w:r>
    </w:p>
    <w:p w14:paraId="21B1212B" w14:textId="7D868D77" w:rsidR="00054501" w:rsidRPr="00A02B15" w:rsidRDefault="00054501" w:rsidP="00054501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individualnih izdanih izvoznih dozvola po kategorijama prema vrijednosti</w:t>
      </w:r>
      <w:r w:rsidRPr="0097406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2022. godini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3843"/>
        <w:gridCol w:w="2438"/>
        <w:gridCol w:w="3307"/>
      </w:tblGrid>
      <w:tr w:rsidR="00054501" w:rsidRPr="00401125" w14:paraId="5B980C14" w14:textId="77777777" w:rsidTr="00BF16D2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745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41D5" w14:textId="77777777" w:rsidR="00054501" w:rsidRPr="00401125" w:rsidRDefault="00054501" w:rsidP="00BF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Odobrena</w:t>
            </w: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br/>
              <w:t xml:space="preserve">vrijednost </w:t>
            </w: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(</w:t>
            </w: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EUR)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51F5" w14:textId="77777777" w:rsidR="00054501" w:rsidRPr="00401125" w:rsidRDefault="00054501" w:rsidP="00BF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Realizirana</w:t>
            </w: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br/>
              <w:t>vrijednost (EUR)</w:t>
            </w:r>
          </w:p>
        </w:tc>
      </w:tr>
      <w:tr w:rsidR="00054501" w:rsidRPr="00401125" w14:paraId="60EF2C18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4091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Kategorija 1</w:t>
            </w: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*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AB1" w14:textId="77777777" w:rsidR="00054501" w:rsidRPr="00401125" w:rsidRDefault="00054501" w:rsidP="0040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592.797,01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76C" w14:textId="77777777" w:rsidR="00054501" w:rsidRPr="00401125" w:rsidRDefault="00054501" w:rsidP="0040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32.688,66</w:t>
            </w:r>
          </w:p>
        </w:tc>
      </w:tr>
      <w:tr w:rsidR="00054501" w:rsidRPr="00401125" w14:paraId="326EECAD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7F5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Kategorija 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2717" w14:textId="56655906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3.202.708,26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4C88" w14:textId="5D8583D7" w:rsidR="00054501" w:rsidRPr="00401125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956.622,00</w:t>
            </w:r>
          </w:p>
        </w:tc>
      </w:tr>
      <w:tr w:rsidR="00054501" w:rsidRPr="00401125" w14:paraId="3075C972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7892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Kategorija 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41D2" w14:textId="7595BE3C" w:rsidR="00054501" w:rsidRPr="00401125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1.370.188,96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3DA6" w14:textId="49A68B32" w:rsidR="00054501" w:rsidRPr="00401125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141.269,59</w:t>
            </w:r>
          </w:p>
        </w:tc>
      </w:tr>
      <w:tr w:rsidR="00054501" w:rsidRPr="00401125" w14:paraId="454FD1E1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E079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Kategorija 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1DC6" w14:textId="69D1C15F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4.190,00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C55A" w14:textId="05FE0619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2.721,70</w:t>
            </w:r>
          </w:p>
        </w:tc>
      </w:tr>
      <w:tr w:rsidR="00054501" w:rsidRPr="00401125" w14:paraId="230A62E1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89D2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Kategorija 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3EAE" w14:textId="7334238A" w:rsidR="00054501" w:rsidRPr="00401125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2.290.160,00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52E7" w14:textId="77777777" w:rsidR="00054501" w:rsidRPr="00401125" w:rsidRDefault="005E3E65" w:rsidP="0040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50.000,00</w:t>
            </w:r>
          </w:p>
        </w:tc>
      </w:tr>
      <w:tr w:rsidR="00054501" w:rsidRPr="00401125" w14:paraId="794ADB1B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080F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  <w:t>Kategorija Catch-all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F7E6" w14:textId="2EF8FE65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4.377.310,06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A9C5" w14:textId="6BE77E49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1.994.530,06</w:t>
            </w:r>
          </w:p>
        </w:tc>
      </w:tr>
      <w:tr w:rsidR="00054501" w:rsidRPr="00401125" w14:paraId="61ECFC92" w14:textId="77777777" w:rsidTr="00BF16D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9444" w14:textId="77777777" w:rsidR="00054501" w:rsidRPr="00401125" w:rsidRDefault="00054501" w:rsidP="00BF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Prilog </w:t>
            </w:r>
            <w:proofErr w:type="spellStart"/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V.a</w:t>
            </w:r>
            <w:proofErr w:type="spellEnd"/>
            <w:r w:rsidRPr="0040112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Uredba (EZ) 765/2006 **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1EF1" w14:textId="68C716FF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13.365.448,97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AA24" w14:textId="6FBA72CA" w:rsidR="00054501" w:rsidRPr="00F36F1A" w:rsidRDefault="00F36F1A" w:rsidP="00F3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457.511,29</w:t>
            </w:r>
          </w:p>
        </w:tc>
      </w:tr>
      <w:tr w:rsidR="00054501" w:rsidRPr="00401125" w14:paraId="21FDA573" w14:textId="77777777" w:rsidTr="00F36F1A">
        <w:trPr>
          <w:trHeight w:val="446"/>
        </w:trPr>
        <w:tc>
          <w:tcPr>
            <w:tcW w:w="3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678C" w14:textId="77777777" w:rsidR="00054501" w:rsidRPr="00401125" w:rsidRDefault="00BF1395" w:rsidP="00F36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401125">
              <w:rPr>
                <w:rFonts w:ascii="Times New Roman" w:eastAsia="Times New Roman" w:hAnsi="Times New Roman" w:cs="Times New Roman"/>
                <w:b/>
                <w:color w:val="000000" w:themeColor="text1"/>
                <w:lang w:val="la-Latn" w:eastAsia="hr-HR"/>
              </w:rPr>
              <w:t>U</w:t>
            </w:r>
            <w:r w:rsidRPr="0040112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KUPNO</w:t>
            </w:r>
          </w:p>
        </w:tc>
        <w:tc>
          <w:tcPr>
            <w:tcW w:w="24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FE66" w14:textId="2EB9C882" w:rsidR="00054501" w:rsidRPr="00401125" w:rsidRDefault="00334F2C" w:rsidP="00F36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  <w:r w:rsidRPr="00334F2C">
              <w:rPr>
                <w:rFonts w:ascii="Times New Roman" w:hAnsi="Times New Roman" w:cs="Times New Roman"/>
                <w:b/>
                <w:bCs/>
                <w:color w:val="000000"/>
              </w:rPr>
              <w:t>25.202.803,26</w:t>
            </w:r>
          </w:p>
        </w:tc>
        <w:tc>
          <w:tcPr>
            <w:tcW w:w="33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D595" w14:textId="33EC9A93" w:rsidR="00054501" w:rsidRPr="00F36F1A" w:rsidRDefault="00BF1395" w:rsidP="00F36F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1125">
              <w:rPr>
                <w:rFonts w:ascii="Times New Roman" w:hAnsi="Times New Roman" w:cs="Times New Roman"/>
                <w:b/>
                <w:bCs/>
                <w:color w:val="000000"/>
              </w:rPr>
              <w:t>3.635.343,30</w:t>
            </w:r>
          </w:p>
        </w:tc>
      </w:tr>
    </w:tbl>
    <w:p w14:paraId="1AC0EAF8" w14:textId="77777777" w:rsidR="00054501" w:rsidRPr="00862D3B" w:rsidRDefault="00054501" w:rsidP="0005450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02FCCA" w14:textId="02B6658B" w:rsidR="00054501" w:rsidRPr="00493E19" w:rsidRDefault="00054501" w:rsidP="00054501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*Napomena: Izdane su 2 izvozne dozvole za nematerijalni prijenos tehnologije koje sadrže robu kategorije 1 i 9 koje se izvoze elektronskim putem. </w:t>
      </w:r>
      <w:r w:rsid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Odobreni iznos izdanih dozvola</w:t>
      </w:r>
      <w:r w:rsidR="00334F2C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 tablici</w:t>
      </w:r>
      <w:r w:rsidR="00334F2C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je prikazan pod kategor</w:t>
      </w:r>
      <w:r w:rsid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ijom</w:t>
      </w:r>
      <w:r w:rsidR="00334F2C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9</w:t>
      </w: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budući </w:t>
      </w:r>
      <w:r w:rsidR="00E113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da </w:t>
      </w: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nije moguće izdvojiti vrijednost pojedine </w:t>
      </w:r>
      <w:r w:rsid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stavke </w:t>
      </w: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robe prema kategorijam</w:t>
      </w:r>
      <w:r w:rsid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 robe navedenim u </w:t>
      </w:r>
      <w:r w:rsidR="00334F2C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tim dozvolama, a najveći bro</w:t>
      </w:r>
      <w:r w:rsidR="0061747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j stavki dozvole odnosi se na </w:t>
      </w:r>
      <w:r w:rsidR="00334F2C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kategoriju</w:t>
      </w:r>
      <w:r w:rsid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9.</w:t>
      </w:r>
    </w:p>
    <w:p w14:paraId="6BA8C345" w14:textId="77777777" w:rsidR="00054501" w:rsidRDefault="00054501" w:rsidP="00054501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**Napomena: U ukupan iznos uračunata i odobrena vrijednost 1 izvozne dozvole koja je sukladno Uredbi (EZ) 765/2006 </w:t>
      </w:r>
      <w:r w:rsidR="008361E6" w:rsidRPr="00493E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izdana za Ugovor o financiranju.</w:t>
      </w:r>
      <w:r w:rsidR="008361E6" w:rsidRPr="00862D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</w:p>
    <w:p w14:paraId="445831DE" w14:textId="77777777" w:rsidR="000F4283" w:rsidRDefault="000F4283" w:rsidP="00054501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67DD89C" w14:textId="77777777" w:rsidR="000F4283" w:rsidRPr="00862D3B" w:rsidRDefault="000F4283" w:rsidP="00054501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4EB8CAD" w14:textId="77777777" w:rsidR="0097406D" w:rsidRDefault="0097406D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a-Latn"/>
        </w:rPr>
      </w:pPr>
    </w:p>
    <w:p w14:paraId="7B807E91" w14:textId="77777777" w:rsidR="0097406D" w:rsidRDefault="00894C05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a-Latn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eastAsia="hr-HR"/>
        </w:rPr>
        <w:lastRenderedPageBreak/>
        <w:drawing>
          <wp:inline distT="0" distB="0" distL="0" distR="0" wp14:anchorId="756511D9" wp14:editId="6132F0F8">
            <wp:extent cx="6233823" cy="3093057"/>
            <wp:effectExtent l="0" t="0" r="14605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8489F3" w14:textId="77777777" w:rsidR="0097406D" w:rsidRDefault="0097406D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a-Latn"/>
        </w:rPr>
      </w:pPr>
    </w:p>
    <w:p w14:paraId="76ACD9C2" w14:textId="77777777" w:rsidR="0097406D" w:rsidRDefault="00894C05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a-Lat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32853450" wp14:editId="6E64C636">
            <wp:extent cx="6186115" cy="3307743"/>
            <wp:effectExtent l="0" t="0" r="5715" b="698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2AE74D" w14:textId="77777777" w:rsidR="00774C18" w:rsidRDefault="00774C18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</w:p>
    <w:p w14:paraId="63962297" w14:textId="77777777" w:rsidR="00F36F1A" w:rsidRDefault="00F36F1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br w:type="page"/>
      </w:r>
    </w:p>
    <w:p w14:paraId="68C6E150" w14:textId="6348313F" w:rsidR="00DB27CF" w:rsidRDefault="000231F8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begin"/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separate"/>
      </w:r>
      <w:r w:rsidRPr="0097406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la-Latn"/>
        </w:rPr>
        <w:t>4</w: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end"/>
      </w:r>
    </w:p>
    <w:p w14:paraId="30BE994C" w14:textId="77777777" w:rsidR="000231F8" w:rsidRPr="00A02B15" w:rsidRDefault="000231F8" w:rsidP="000231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t xml:space="preserve">Pregled </w: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izdanih </w: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t xml:space="preserve">individualnih izvoznih dozvola po kategorijama </w:t>
      </w:r>
      <w:r w:rsidR="00D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robe </w:t>
      </w:r>
      <w:r w:rsidRPr="00974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t>prema zemljama</w:t>
      </w:r>
    </w:p>
    <w:tbl>
      <w:tblPr>
        <w:tblW w:w="4697" w:type="pct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850"/>
        <w:gridCol w:w="850"/>
        <w:gridCol w:w="1017"/>
        <w:gridCol w:w="736"/>
        <w:gridCol w:w="938"/>
        <w:gridCol w:w="848"/>
      </w:tblGrid>
      <w:tr w:rsidR="000231F8" w:rsidRPr="00BF16D2" w14:paraId="72182765" w14:textId="77777777" w:rsidTr="00F36F1A">
        <w:trPr>
          <w:trHeight w:val="346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CD48" w14:textId="67689CF0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a-Latn" w:eastAsia="hr-HR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91DC" w14:textId="0637FE3B" w:rsidR="000231F8" w:rsidRPr="00F67483" w:rsidRDefault="00F67483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Kat.1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571F" w14:textId="216FCDF1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Kat.2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3AE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Kat.</w:t>
            </w: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A096" w14:textId="3135A404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Kat.6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23A" w14:textId="4778C41F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Kat.9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AEFC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 xml:space="preserve">Prilog </w:t>
            </w:r>
            <w:proofErr w:type="spellStart"/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V.a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A2A" w14:textId="22401F30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Catch-all</w:t>
            </w:r>
          </w:p>
        </w:tc>
      </w:tr>
      <w:tr w:rsidR="000231F8" w:rsidRPr="00BF16D2" w14:paraId="1EC32486" w14:textId="77777777" w:rsidTr="00F36F1A">
        <w:trPr>
          <w:trHeight w:val="365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3B3D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Bosna i Hercegovina</w:t>
            </w: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*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5C3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620387A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7A5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4E9E2F2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D90B" w14:textId="3359A44A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748752F6" w14:textId="11008374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8AA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7281CFB4" w14:textId="5BBFA113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E9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0D1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EB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4E846758" w14:textId="77777777" w:rsidTr="00F36F1A">
        <w:trPr>
          <w:trHeight w:val="535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F6AE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Bjelarus</w:t>
            </w:r>
            <w:r w:rsidR="0097406D" w:rsidRPr="00BF16D2">
              <w:rPr>
                <w:rFonts w:ascii="Times New Roman" w:hAnsi="Times New Roman" w:cs="Times New Roman"/>
                <w:b/>
                <w:color w:val="000000" w:themeColor="text1"/>
              </w:rPr>
              <w:t>**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4E6B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5D9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B03D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D3DA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4C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0F0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02CC8AD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14</w:t>
            </w:r>
          </w:p>
          <w:p w14:paraId="7BF700EA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4A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</w:tr>
      <w:tr w:rsidR="000231F8" w:rsidRPr="00BF16D2" w14:paraId="57DC709F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D8A" w14:textId="61934EFC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Brazil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276B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F702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D7F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59E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2D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913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1A0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179E2484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7A60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Kuba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7CF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92CD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AD7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BD1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0A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879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C39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72BF88D2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9952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Kosovo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AF8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F9C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5397" w14:textId="6B4A07C4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961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6F61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CE9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E4A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3F7DABE9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DC4C" w14:textId="1218CB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Turska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1AC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CC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EC9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7B1B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643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8EC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63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6EC4F2B8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ED60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Srbija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4CA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4ECD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7C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F7A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1E74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13BD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46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2F2EB302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76FB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Sjeverna Makedonija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31A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D5E5" w14:textId="5C423F03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805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74C1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03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5820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BAA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5E2FC067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1CEF" w14:textId="74784B6D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Albanija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C20E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8CF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DA7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F50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4E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F952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BBD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0C44EAD2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1B16" w14:textId="45F27FAC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</w:rPr>
              <w:t>Ujedinjeno Kraljevstvo **</w:t>
            </w:r>
            <w:r w:rsidR="0097406D" w:rsidRPr="00BF16D2">
              <w:rPr>
                <w:rFonts w:ascii="Times New Roman" w:hAnsi="Times New Roman" w:cs="Times New Roman"/>
                <w:b/>
                <w:color w:val="000000" w:themeColor="text1"/>
              </w:rPr>
              <w:t>*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1BD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FDAC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8A2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A568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2D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3473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118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</w:tr>
      <w:tr w:rsidR="000231F8" w:rsidRPr="00BF16D2" w14:paraId="17958F9A" w14:textId="77777777" w:rsidTr="00F36F1A">
        <w:trPr>
          <w:trHeight w:val="346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230D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Pakistan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7C5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0967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736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39F3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3D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6A4D" w14:textId="77777777" w:rsidR="000231F8" w:rsidRPr="00BF16D2" w:rsidDel="00D1340D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D27B" w14:textId="77777777" w:rsidR="000231F8" w:rsidRPr="00BF16D2" w:rsidDel="00D1340D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</w:p>
        </w:tc>
      </w:tr>
      <w:tr w:rsidR="000231F8" w:rsidRPr="00BF16D2" w14:paraId="10EC4991" w14:textId="77777777" w:rsidTr="00F36F1A">
        <w:trPr>
          <w:trHeight w:val="346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D565" w14:textId="77777777" w:rsidR="000231F8" w:rsidRPr="00BF16D2" w:rsidRDefault="000231F8" w:rsidP="00F67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</w:pPr>
            <w:r w:rsidRPr="00BF16D2">
              <w:rPr>
                <w:rFonts w:ascii="Times New Roman" w:hAnsi="Times New Roman" w:cs="Times New Roman"/>
                <w:b/>
                <w:color w:val="000000" w:themeColor="text1"/>
                <w:lang w:val="la-Latn"/>
              </w:rPr>
              <w:t>Kina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6459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9050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08B5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D1B6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F14F" w14:textId="77777777" w:rsidR="000231F8" w:rsidRPr="00BF16D2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3466" w14:textId="77777777" w:rsidR="000231F8" w:rsidRPr="00BF16D2" w:rsidDel="00D1340D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a-Latn" w:eastAsia="hr-HR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895" w14:textId="77777777" w:rsidR="000231F8" w:rsidRPr="00BF16D2" w:rsidDel="00D1340D" w:rsidRDefault="000231F8" w:rsidP="00F6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</w:p>
        </w:tc>
      </w:tr>
    </w:tbl>
    <w:p w14:paraId="526E72B7" w14:textId="77777777" w:rsidR="00F36F1A" w:rsidRDefault="00F36F1A" w:rsidP="00AD36A2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3CF06A2" w14:textId="58BC7F5A" w:rsidR="00AD36A2" w:rsidRPr="0097406D" w:rsidRDefault="008E3535" w:rsidP="00AD36A2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</w:t>
      </w:r>
      <w:r w:rsidR="00AD36A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apomena:</w:t>
      </w:r>
    </w:p>
    <w:p w14:paraId="483E4F37" w14:textId="77777777" w:rsidR="00AD36A2" w:rsidRDefault="00AD36A2" w:rsidP="00AD36A2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7406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 Izdano je 20 dozvola za Bosnu i Hercegovinu,  1  dozvola sadržavala je robu kategorije 1 i 5</w:t>
      </w:r>
    </w:p>
    <w:p w14:paraId="1971CD12" w14:textId="72A616C4" w:rsidR="00AD36A2" w:rsidRPr="0097406D" w:rsidRDefault="00AD36A2" w:rsidP="00AD36A2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 Nije uvrštena dozvola za financiranje vezana za robu s dvojnom namjenom koja je izda</w:t>
      </w:r>
      <w:r w:rsidR="009D202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na temeljem Uredbe (EZ) 765/2006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budući ne predstavlja kategoriju robe već obvezu koja proizlazi iz navedene Uredbe. </w:t>
      </w:r>
    </w:p>
    <w:p w14:paraId="3DD4E815" w14:textId="77777777" w:rsidR="00AD36A2" w:rsidRDefault="00AD36A2" w:rsidP="00AD36A2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***</w:t>
      </w:r>
      <w:r w:rsidRPr="0097406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Izdane su 2 dozvole za UK, svaka pojedina je sadržavala robu kategorije 1 i 9 </w:t>
      </w:r>
    </w:p>
    <w:p w14:paraId="2BD83E7A" w14:textId="0EB086B7" w:rsidR="00F36F1A" w:rsidRDefault="00F36F1A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 w:type="page"/>
      </w:r>
    </w:p>
    <w:p w14:paraId="252CC2B8" w14:textId="77777777" w:rsidR="000B36DE" w:rsidRDefault="000B36DE" w:rsidP="009C308C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1E1A7C9" w14:textId="77777777" w:rsidR="000B36DE" w:rsidRPr="0019748A" w:rsidRDefault="000B36DE" w:rsidP="009C308C">
      <w:pPr>
        <w:keepNext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eastAsia="hr-HR"/>
        </w:rPr>
        <w:drawing>
          <wp:inline distT="0" distB="0" distL="0" distR="0" wp14:anchorId="71E75698" wp14:editId="50557E53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8EE9F36" w14:textId="77777777" w:rsidR="0019748A" w:rsidRDefault="0019748A" w:rsidP="009C308C">
      <w:pPr>
        <w:keepNext/>
        <w:spacing w:after="0" w:line="360" w:lineRule="auto"/>
        <w:jc w:val="both"/>
        <w:rPr>
          <w:b/>
          <w:bCs/>
          <w:color w:val="000000" w:themeColor="text1"/>
          <w:szCs w:val="24"/>
          <w:lang w:val="la-Latn"/>
        </w:rPr>
      </w:pPr>
    </w:p>
    <w:p w14:paraId="255EC89D" w14:textId="77777777" w:rsidR="00054501" w:rsidRDefault="00054501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4042FB63" w14:textId="77777777" w:rsidR="00054501" w:rsidRPr="00AE4043" w:rsidRDefault="00054501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5A07E7D0" w14:textId="3A118ED3" w:rsidR="00DB27CF" w:rsidRDefault="008A22E3" w:rsidP="00050E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t xml:space="preserve">Tablica </w:t>
      </w: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begin"/>
      </w: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separate"/>
      </w:r>
      <w:r w:rsidRPr="00050E86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la-Latn"/>
        </w:rPr>
        <w:t>5</w:t>
      </w: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fldChar w:fldCharType="end"/>
      </w:r>
    </w:p>
    <w:p w14:paraId="7C54F1D2" w14:textId="77777777" w:rsidR="00050E86" w:rsidRDefault="00050E86" w:rsidP="00050E86">
      <w:pPr>
        <w:rPr>
          <w:rFonts w:ascii="Times New Roman" w:eastAsia="Calibri" w:hAnsi="Times New Roman" w:cs="Times New Roman"/>
          <w:b/>
          <w:sz w:val="24"/>
          <w:szCs w:val="24"/>
          <w:lang w:val="la-Latn"/>
        </w:rPr>
      </w:pP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Pregled </w:t>
      </w:r>
      <w:r w:rsidRPr="00050E86">
        <w:rPr>
          <w:rFonts w:ascii="Times New Roman" w:eastAsia="Calibri" w:hAnsi="Times New Roman" w:cs="Times New Roman"/>
          <w:b/>
          <w:sz w:val="24"/>
          <w:szCs w:val="24"/>
          <w:lang w:val="la-Latn"/>
        </w:rPr>
        <w:t>globalnih  izvoznih dozvola</w:t>
      </w:r>
      <w:r w:rsidR="008F4A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50E86">
        <w:rPr>
          <w:rFonts w:ascii="Times New Roman" w:eastAsia="Calibri" w:hAnsi="Times New Roman" w:cs="Times New Roman"/>
          <w:b/>
          <w:sz w:val="24"/>
          <w:szCs w:val="24"/>
        </w:rPr>
        <w:t>izdanih</w:t>
      </w:r>
      <w:r w:rsidR="008F4A69">
        <w:rPr>
          <w:rFonts w:ascii="Times New Roman" w:eastAsia="Calibri" w:hAnsi="Times New Roman" w:cs="Times New Roman"/>
          <w:b/>
          <w:sz w:val="24"/>
          <w:szCs w:val="24"/>
        </w:rPr>
        <w:t xml:space="preserve"> u 2022.</w:t>
      </w:r>
      <w:r w:rsidRPr="00050E86">
        <w:rPr>
          <w:rFonts w:ascii="Times New Roman" w:eastAsia="Calibri" w:hAnsi="Times New Roman" w:cs="Times New Roman"/>
          <w:b/>
          <w:sz w:val="24"/>
          <w:szCs w:val="24"/>
        </w:rPr>
        <w:t xml:space="preserve"> i realiziranih u </w:t>
      </w:r>
      <w:r w:rsidRPr="00050E86">
        <w:rPr>
          <w:rFonts w:ascii="Times New Roman" w:eastAsia="Calibri" w:hAnsi="Times New Roman" w:cs="Times New Roman"/>
          <w:b/>
          <w:sz w:val="24"/>
          <w:szCs w:val="24"/>
          <w:lang w:val="la-Latn"/>
        </w:rPr>
        <w:t>2022.</w:t>
      </w:r>
      <w:r w:rsidRPr="00050E86" w:rsidDel="008F146D">
        <w:rPr>
          <w:rFonts w:ascii="Times New Roman" w:eastAsia="Calibri" w:hAnsi="Times New Roman" w:cs="Times New Roman"/>
          <w:b/>
          <w:sz w:val="24"/>
          <w:szCs w:val="24"/>
          <w:lang w:val="la-Latn"/>
        </w:rPr>
        <w:t xml:space="preserve"> </w:t>
      </w:r>
    </w:p>
    <w:p w14:paraId="61CE0EA2" w14:textId="77777777" w:rsidR="00050E86" w:rsidRDefault="00050E86" w:rsidP="00050E86">
      <w:pPr>
        <w:rPr>
          <w:rFonts w:ascii="Times New Roman" w:eastAsia="Calibri" w:hAnsi="Times New Roman" w:cs="Times New Roman"/>
          <w:b/>
          <w:sz w:val="24"/>
          <w:szCs w:val="24"/>
          <w:lang w:val="la-Lat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26"/>
        <w:gridCol w:w="1276"/>
        <w:gridCol w:w="1701"/>
        <w:gridCol w:w="1701"/>
        <w:gridCol w:w="1559"/>
        <w:gridCol w:w="1842"/>
      </w:tblGrid>
      <w:tr w:rsidR="00050E86" w:rsidRPr="00E5547D" w14:paraId="1A9C0BB0" w14:textId="77777777" w:rsidTr="00F36F1A">
        <w:tc>
          <w:tcPr>
            <w:tcW w:w="1245" w:type="dxa"/>
          </w:tcPr>
          <w:p w14:paraId="391434BE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ZEMLJA IZVOZA</w:t>
            </w:r>
          </w:p>
        </w:tc>
        <w:tc>
          <w:tcPr>
            <w:tcW w:w="1302" w:type="dxa"/>
            <w:gridSpan w:val="2"/>
          </w:tcPr>
          <w:p w14:paraId="57383956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DOZVOLA</w:t>
            </w:r>
          </w:p>
        </w:tc>
        <w:tc>
          <w:tcPr>
            <w:tcW w:w="1701" w:type="dxa"/>
          </w:tcPr>
          <w:p w14:paraId="22FC69B1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ROBE</w:t>
            </w:r>
          </w:p>
        </w:tc>
        <w:tc>
          <w:tcPr>
            <w:tcW w:w="1701" w:type="dxa"/>
          </w:tcPr>
          <w:p w14:paraId="486F6FC9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KATEGORIJA</w:t>
            </w:r>
          </w:p>
          <w:p w14:paraId="76204C9B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ROBE</w:t>
            </w:r>
          </w:p>
        </w:tc>
        <w:tc>
          <w:tcPr>
            <w:tcW w:w="1559" w:type="dxa"/>
          </w:tcPr>
          <w:p w14:paraId="5027C74D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ODOBRENA</w:t>
            </w:r>
          </w:p>
          <w:p w14:paraId="2115AB84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5761B8EC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(EUR)</w:t>
            </w:r>
          </w:p>
        </w:tc>
        <w:tc>
          <w:tcPr>
            <w:tcW w:w="1842" w:type="dxa"/>
          </w:tcPr>
          <w:p w14:paraId="5B002AFF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REALIZIRANA</w:t>
            </w:r>
          </w:p>
          <w:p w14:paraId="307E5CBE" w14:textId="77777777" w:rsidR="00050E86" w:rsidRPr="00E5547D" w:rsidRDefault="00050E86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7AB8B245" w14:textId="77777777" w:rsidR="00050E86" w:rsidRPr="00E5547D" w:rsidRDefault="006D3A85" w:rsidP="00050E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050E86"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EUR)</w:t>
            </w:r>
          </w:p>
        </w:tc>
      </w:tr>
      <w:tr w:rsidR="00050E86" w:rsidRPr="00E5547D" w14:paraId="6A36BB92" w14:textId="77777777" w:rsidTr="00F36F1A">
        <w:tc>
          <w:tcPr>
            <w:tcW w:w="1245" w:type="dxa"/>
          </w:tcPr>
          <w:p w14:paraId="6F7913E9" w14:textId="77777777" w:rsidR="00050E86" w:rsidRPr="00563431" w:rsidRDefault="00050E86" w:rsidP="00050E8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MOLDOVA</w:t>
            </w:r>
          </w:p>
        </w:tc>
        <w:tc>
          <w:tcPr>
            <w:tcW w:w="1302" w:type="dxa"/>
            <w:gridSpan w:val="2"/>
          </w:tcPr>
          <w:p w14:paraId="12FDBB99" w14:textId="77777777" w:rsidR="006D3A85" w:rsidRPr="00E5547D" w:rsidRDefault="006D3A85" w:rsidP="00050E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</w:pPr>
          </w:p>
          <w:p w14:paraId="2B128A11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 xml:space="preserve">       </w:t>
            </w:r>
            <w:r w:rsidR="00050E86"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1</w:t>
            </w:r>
          </w:p>
        </w:tc>
        <w:tc>
          <w:tcPr>
            <w:tcW w:w="1701" w:type="dxa"/>
          </w:tcPr>
          <w:p w14:paraId="01476B79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Telekomunikacije i "sigurnost informacija“</w:t>
            </w:r>
          </w:p>
        </w:tc>
        <w:tc>
          <w:tcPr>
            <w:tcW w:w="1701" w:type="dxa"/>
          </w:tcPr>
          <w:p w14:paraId="2BF2A466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050E86"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kat.5</w:t>
            </w:r>
          </w:p>
        </w:tc>
        <w:tc>
          <w:tcPr>
            <w:tcW w:w="1559" w:type="dxa"/>
          </w:tcPr>
          <w:p w14:paraId="1699B3AD" w14:textId="77777777" w:rsidR="00050E86" w:rsidRPr="00563431" w:rsidRDefault="00050E86" w:rsidP="00050E86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842" w:type="dxa"/>
          </w:tcPr>
          <w:p w14:paraId="218EB1EE" w14:textId="77777777" w:rsidR="00050E86" w:rsidRPr="00E5547D" w:rsidRDefault="00050E86" w:rsidP="00050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4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10.567,61</w:t>
            </w:r>
          </w:p>
          <w:p w14:paraId="7A4CAA85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050E86" w:rsidRPr="00E5547D" w14:paraId="195AA0DE" w14:textId="77777777" w:rsidTr="00F36F1A">
        <w:trPr>
          <w:trHeight w:val="2312"/>
        </w:trPr>
        <w:tc>
          <w:tcPr>
            <w:tcW w:w="1271" w:type="dxa"/>
            <w:gridSpan w:val="2"/>
          </w:tcPr>
          <w:p w14:paraId="26394BC9" w14:textId="77777777" w:rsidR="007769EF" w:rsidRDefault="007769EF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MOLDOVA</w:t>
            </w:r>
          </w:p>
          <w:p w14:paraId="50C6AD06" w14:textId="342FBB82" w:rsidR="00563431" w:rsidRDefault="00050E86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34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</w:t>
            </w:r>
            <w:r w:rsidR="005634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  <w:p w14:paraId="70E8A8FA" w14:textId="77777777" w:rsidR="00563431" w:rsidRDefault="00563431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CRNA GORA</w:t>
            </w:r>
          </w:p>
          <w:p w14:paraId="28A76AF2" w14:textId="77777777" w:rsidR="00563431" w:rsidRDefault="00DB27CF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34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KOSOVO, ARMENIJA</w:t>
            </w:r>
          </w:p>
          <w:p w14:paraId="39BE7D96" w14:textId="77777777" w:rsidR="00563431" w:rsidRDefault="00563431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KUBA</w:t>
            </w:r>
          </w:p>
          <w:p w14:paraId="5BE4BBC2" w14:textId="77777777" w:rsidR="00050E86" w:rsidRPr="00563431" w:rsidRDefault="00563431" w:rsidP="00050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KINA, VELIKA BRITANIJA</w:t>
            </w:r>
          </w:p>
        </w:tc>
        <w:tc>
          <w:tcPr>
            <w:tcW w:w="1276" w:type="dxa"/>
          </w:tcPr>
          <w:p w14:paraId="7103DA44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  <w:p w14:paraId="3BD945E9" w14:textId="77777777" w:rsidR="006D3A85" w:rsidRPr="00E5547D" w:rsidRDefault="006D3A85" w:rsidP="00050E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1701" w:type="dxa"/>
          </w:tcPr>
          <w:p w14:paraId="195BC201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Telekomunikacije i "sigurnost informacija“</w:t>
            </w:r>
          </w:p>
        </w:tc>
        <w:tc>
          <w:tcPr>
            <w:tcW w:w="1701" w:type="dxa"/>
          </w:tcPr>
          <w:p w14:paraId="702E6957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050E86" w:rsidRPr="00E5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kat.5</w:t>
            </w:r>
          </w:p>
        </w:tc>
        <w:tc>
          <w:tcPr>
            <w:tcW w:w="1559" w:type="dxa"/>
          </w:tcPr>
          <w:p w14:paraId="3F8C2BA9" w14:textId="77777777" w:rsidR="00050E86" w:rsidRPr="00563431" w:rsidRDefault="006D3A85" w:rsidP="00050E86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842" w:type="dxa"/>
          </w:tcPr>
          <w:p w14:paraId="7F73D260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50E86" w:rsidRPr="00E5547D" w14:paraId="7D890452" w14:textId="77777777" w:rsidTr="00F36F1A">
        <w:tc>
          <w:tcPr>
            <w:tcW w:w="1271" w:type="dxa"/>
            <w:gridSpan w:val="2"/>
          </w:tcPr>
          <w:p w14:paraId="44DA1F05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</w:tcPr>
          <w:p w14:paraId="7EE4C965" w14:textId="77777777" w:rsidR="00050E86" w:rsidRPr="00E5547D" w:rsidRDefault="006D3A85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5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2</w:t>
            </w:r>
          </w:p>
        </w:tc>
        <w:tc>
          <w:tcPr>
            <w:tcW w:w="1701" w:type="dxa"/>
          </w:tcPr>
          <w:p w14:paraId="2A0F2BF1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</w:tcPr>
          <w:p w14:paraId="231586F5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59" w:type="dxa"/>
          </w:tcPr>
          <w:p w14:paraId="0BE726A5" w14:textId="77777777" w:rsidR="00050E86" w:rsidRPr="00563431" w:rsidRDefault="006D3A85" w:rsidP="00050E86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842" w:type="dxa"/>
          </w:tcPr>
          <w:p w14:paraId="3DC23FEA" w14:textId="77777777" w:rsidR="006D3A85" w:rsidRPr="00E5547D" w:rsidRDefault="006D3A85" w:rsidP="006D3A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47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10.567,61</w:t>
            </w:r>
          </w:p>
          <w:p w14:paraId="601AC1C8" w14:textId="77777777" w:rsidR="00050E86" w:rsidRPr="00E5547D" w:rsidRDefault="00050E86" w:rsidP="00050E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</w:tbl>
    <w:p w14:paraId="0C77C8DC" w14:textId="77777777" w:rsidR="00050E86" w:rsidRPr="00050E86" w:rsidRDefault="00050E86" w:rsidP="00050E86">
      <w:pPr>
        <w:rPr>
          <w:rFonts w:ascii="Times New Roman" w:eastAsia="Calibri" w:hAnsi="Times New Roman" w:cs="Times New Roman"/>
          <w:b/>
          <w:sz w:val="24"/>
          <w:szCs w:val="24"/>
          <w:lang w:val="la-Latn"/>
        </w:rPr>
      </w:pPr>
    </w:p>
    <w:p w14:paraId="6A615831" w14:textId="77777777" w:rsidR="00DB27CF" w:rsidRDefault="000B122F" w:rsidP="000B12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</w:pP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="00E554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33813973" w14:textId="4DDECBF2" w:rsidR="000B122F" w:rsidRDefault="000B122F" w:rsidP="000B122F">
      <w:pPr>
        <w:rPr>
          <w:rFonts w:ascii="Times New Roman" w:eastAsia="Calibri" w:hAnsi="Times New Roman" w:cs="Times New Roman"/>
          <w:b/>
          <w:sz w:val="24"/>
          <w:szCs w:val="24"/>
          <w:lang w:val="la-Latn"/>
        </w:rPr>
      </w:pPr>
      <w:r w:rsidRPr="00050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Pregled </w:t>
      </w:r>
      <w:r w:rsidRPr="00050E86">
        <w:rPr>
          <w:rFonts w:ascii="Times New Roman" w:eastAsia="Calibri" w:hAnsi="Times New Roman" w:cs="Times New Roman"/>
          <w:b/>
          <w:sz w:val="24"/>
          <w:szCs w:val="24"/>
          <w:lang w:val="la-Latn"/>
        </w:rPr>
        <w:t>globalnih  izvoznih dozvola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50E86">
        <w:rPr>
          <w:rFonts w:ascii="Times New Roman" w:eastAsia="Calibri" w:hAnsi="Times New Roman" w:cs="Times New Roman"/>
          <w:b/>
          <w:sz w:val="24"/>
          <w:szCs w:val="24"/>
        </w:rPr>
        <w:t>izdanih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 2021.</w:t>
      </w:r>
      <w:r w:rsidRPr="00050E86">
        <w:rPr>
          <w:rFonts w:ascii="Times New Roman" w:eastAsia="Calibri" w:hAnsi="Times New Roman" w:cs="Times New Roman"/>
          <w:b/>
          <w:sz w:val="24"/>
          <w:szCs w:val="24"/>
        </w:rPr>
        <w:t xml:space="preserve"> i realiziranih u </w:t>
      </w:r>
      <w:r w:rsidRPr="00050E86">
        <w:rPr>
          <w:rFonts w:ascii="Times New Roman" w:eastAsia="Calibri" w:hAnsi="Times New Roman" w:cs="Times New Roman"/>
          <w:b/>
          <w:sz w:val="24"/>
          <w:szCs w:val="24"/>
          <w:lang w:val="la-Latn"/>
        </w:rPr>
        <w:t>2022.</w:t>
      </w:r>
      <w:r w:rsidRPr="00050E86" w:rsidDel="008F146D">
        <w:rPr>
          <w:rFonts w:ascii="Times New Roman" w:eastAsia="Calibri" w:hAnsi="Times New Roman" w:cs="Times New Roman"/>
          <w:b/>
          <w:sz w:val="24"/>
          <w:szCs w:val="24"/>
          <w:lang w:val="la-Latn"/>
        </w:rPr>
        <w:t xml:space="preserve"> </w:t>
      </w:r>
    </w:p>
    <w:p w14:paraId="7F85CEF5" w14:textId="77777777" w:rsidR="000B122F" w:rsidRDefault="000B122F" w:rsidP="000B122F">
      <w:pPr>
        <w:rPr>
          <w:rFonts w:ascii="Times New Roman" w:eastAsia="Calibri" w:hAnsi="Times New Roman" w:cs="Times New Roman"/>
          <w:b/>
          <w:sz w:val="24"/>
          <w:szCs w:val="24"/>
          <w:lang w:val="la-Lat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26"/>
        <w:gridCol w:w="1276"/>
        <w:gridCol w:w="1701"/>
        <w:gridCol w:w="1701"/>
        <w:gridCol w:w="1701"/>
        <w:gridCol w:w="1700"/>
      </w:tblGrid>
      <w:tr w:rsidR="000B122F" w:rsidRPr="00BF16D2" w14:paraId="2D7E3091" w14:textId="77777777" w:rsidTr="00F36F1A">
        <w:tc>
          <w:tcPr>
            <w:tcW w:w="1245" w:type="dxa"/>
          </w:tcPr>
          <w:p w14:paraId="4B619992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ZEMLJA IZVOZA</w:t>
            </w:r>
          </w:p>
        </w:tc>
        <w:tc>
          <w:tcPr>
            <w:tcW w:w="1302" w:type="dxa"/>
            <w:gridSpan w:val="2"/>
          </w:tcPr>
          <w:p w14:paraId="7A4D4695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DOZVOLA</w:t>
            </w:r>
          </w:p>
        </w:tc>
        <w:tc>
          <w:tcPr>
            <w:tcW w:w="1701" w:type="dxa"/>
          </w:tcPr>
          <w:p w14:paraId="0199CC73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ROBE</w:t>
            </w:r>
          </w:p>
        </w:tc>
        <w:tc>
          <w:tcPr>
            <w:tcW w:w="1701" w:type="dxa"/>
          </w:tcPr>
          <w:p w14:paraId="0445173F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KATEGORIJA</w:t>
            </w:r>
          </w:p>
          <w:p w14:paraId="69997998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ROBE</w:t>
            </w:r>
          </w:p>
        </w:tc>
        <w:tc>
          <w:tcPr>
            <w:tcW w:w="1701" w:type="dxa"/>
          </w:tcPr>
          <w:p w14:paraId="3FDA99EA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ODOBRENA</w:t>
            </w:r>
          </w:p>
          <w:p w14:paraId="404F6A7E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41B53E5D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(EUR)</w:t>
            </w:r>
          </w:p>
        </w:tc>
        <w:tc>
          <w:tcPr>
            <w:tcW w:w="1700" w:type="dxa"/>
          </w:tcPr>
          <w:p w14:paraId="61264069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REALIZIRANA</w:t>
            </w:r>
          </w:p>
          <w:p w14:paraId="1381F90E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7C3C39B1" w14:textId="77777777" w:rsidR="000B122F" w:rsidRPr="00BF16D2" w:rsidRDefault="000B122F" w:rsidP="00BF16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(EUR)</w:t>
            </w:r>
          </w:p>
        </w:tc>
      </w:tr>
      <w:tr w:rsidR="000B122F" w:rsidRPr="00BF16D2" w14:paraId="48294779" w14:textId="77777777" w:rsidTr="00F36F1A">
        <w:tc>
          <w:tcPr>
            <w:tcW w:w="1245" w:type="dxa"/>
          </w:tcPr>
          <w:p w14:paraId="5D19E87D" w14:textId="77777777" w:rsidR="000B122F" w:rsidRPr="00563431" w:rsidRDefault="00E5547D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a-Latn" w:eastAsia="hr-HR"/>
              </w:rPr>
              <w:t>CRNA GORA</w:t>
            </w:r>
          </w:p>
        </w:tc>
        <w:tc>
          <w:tcPr>
            <w:tcW w:w="1302" w:type="dxa"/>
            <w:gridSpan w:val="2"/>
          </w:tcPr>
          <w:p w14:paraId="45F8FDFE" w14:textId="77777777" w:rsidR="000B122F" w:rsidRPr="00BF16D2" w:rsidRDefault="000B122F" w:rsidP="00BF16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</w:pPr>
          </w:p>
          <w:p w14:paraId="7C34D967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 xml:space="preserve">       1</w:t>
            </w:r>
          </w:p>
        </w:tc>
        <w:tc>
          <w:tcPr>
            <w:tcW w:w="1701" w:type="dxa"/>
          </w:tcPr>
          <w:p w14:paraId="12854659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Telekomunikacije i "sigurnost informacija“</w:t>
            </w:r>
          </w:p>
        </w:tc>
        <w:tc>
          <w:tcPr>
            <w:tcW w:w="1701" w:type="dxa"/>
          </w:tcPr>
          <w:p w14:paraId="1DE8769C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kat.5</w:t>
            </w:r>
          </w:p>
        </w:tc>
        <w:tc>
          <w:tcPr>
            <w:tcW w:w="1701" w:type="dxa"/>
          </w:tcPr>
          <w:p w14:paraId="7A1B13F0" w14:textId="77777777" w:rsidR="000B122F" w:rsidRPr="00563431" w:rsidRDefault="000B122F" w:rsidP="00BF16D2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700" w:type="dxa"/>
          </w:tcPr>
          <w:p w14:paraId="7BD8D326" w14:textId="77777777" w:rsidR="000B122F" w:rsidRPr="00563431" w:rsidRDefault="00563431" w:rsidP="00563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218.531,38</w:t>
            </w:r>
          </w:p>
        </w:tc>
      </w:tr>
      <w:tr w:rsidR="000B122F" w:rsidRPr="00BF16D2" w14:paraId="5DDC195C" w14:textId="77777777" w:rsidTr="00F36F1A">
        <w:trPr>
          <w:trHeight w:val="2507"/>
        </w:trPr>
        <w:tc>
          <w:tcPr>
            <w:tcW w:w="1271" w:type="dxa"/>
            <w:gridSpan w:val="2"/>
          </w:tcPr>
          <w:p w14:paraId="72A7D1BC" w14:textId="77777777" w:rsidR="000B122F" w:rsidRPr="00563431" w:rsidRDefault="00E5547D" w:rsidP="00E554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a-Latn" w:eastAsia="hr-HR"/>
              </w:rPr>
              <w:t>KOSOVO</w:t>
            </w:r>
          </w:p>
        </w:tc>
        <w:tc>
          <w:tcPr>
            <w:tcW w:w="1276" w:type="dxa"/>
          </w:tcPr>
          <w:p w14:paraId="2B25FEE7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  <w:p w14:paraId="6BB0A315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1701" w:type="dxa"/>
          </w:tcPr>
          <w:p w14:paraId="726D3B30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Telekomunikacije i "sigurnost informacija“</w:t>
            </w:r>
          </w:p>
        </w:tc>
        <w:tc>
          <w:tcPr>
            <w:tcW w:w="1701" w:type="dxa"/>
          </w:tcPr>
          <w:p w14:paraId="63848344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kat.5</w:t>
            </w:r>
          </w:p>
        </w:tc>
        <w:tc>
          <w:tcPr>
            <w:tcW w:w="1701" w:type="dxa"/>
          </w:tcPr>
          <w:p w14:paraId="6DACB805" w14:textId="77777777" w:rsidR="000B122F" w:rsidRPr="00563431" w:rsidRDefault="000B122F" w:rsidP="00BF16D2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700" w:type="dxa"/>
          </w:tcPr>
          <w:p w14:paraId="161C7C60" w14:textId="77777777" w:rsidR="000B122F" w:rsidRPr="00BF16D2" w:rsidRDefault="00E5547D" w:rsidP="005634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a-Latn" w:eastAsia="hr-HR"/>
              </w:rPr>
              <w:t>189.016,72</w:t>
            </w:r>
          </w:p>
        </w:tc>
      </w:tr>
      <w:tr w:rsidR="000B122F" w:rsidRPr="00BF16D2" w14:paraId="1E36974A" w14:textId="77777777" w:rsidTr="00F36F1A">
        <w:tc>
          <w:tcPr>
            <w:tcW w:w="1271" w:type="dxa"/>
            <w:gridSpan w:val="2"/>
          </w:tcPr>
          <w:p w14:paraId="5FC5B7E2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</w:tcPr>
          <w:p w14:paraId="3F2C54A9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16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2</w:t>
            </w:r>
          </w:p>
        </w:tc>
        <w:tc>
          <w:tcPr>
            <w:tcW w:w="1701" w:type="dxa"/>
          </w:tcPr>
          <w:p w14:paraId="22B89F07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</w:tcPr>
          <w:p w14:paraId="1FB99BE6" w14:textId="77777777" w:rsidR="000B122F" w:rsidRPr="00BF16D2" w:rsidRDefault="000B122F" w:rsidP="00BF16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</w:tcPr>
          <w:p w14:paraId="2E9E7D8E" w14:textId="77777777" w:rsidR="000B122F" w:rsidRPr="00563431" w:rsidRDefault="000B122F" w:rsidP="00BF16D2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700" w:type="dxa"/>
          </w:tcPr>
          <w:p w14:paraId="11437081" w14:textId="77777777" w:rsidR="00E5547D" w:rsidRPr="00BF16D2" w:rsidRDefault="00E5547D" w:rsidP="00E554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407.548,10</w:t>
            </w:r>
          </w:p>
          <w:p w14:paraId="633FB604" w14:textId="77777777" w:rsidR="000B122F" w:rsidRPr="00BF16D2" w:rsidRDefault="000B122F" w:rsidP="00E5547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</w:tbl>
    <w:p w14:paraId="2BE71704" w14:textId="4E5AFF42" w:rsidR="008F095C" w:rsidRDefault="008F095C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84D89" w14:textId="77777777" w:rsidR="009D202C" w:rsidRDefault="009D202C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4BF7A69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3C3DA1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5B249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F76C0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81658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1285C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C1AC8E9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9F4CA85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00E3137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195DE86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95C1269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0BBB614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090252F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E9D4E" w14:textId="77777777" w:rsidR="00195262" w:rsidRDefault="00195262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ABA49" w14:textId="0BA04408" w:rsidR="00C56EE4" w:rsidRDefault="00C56EE4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Tablica 7 </w:t>
      </w:r>
    </w:p>
    <w:p w14:paraId="28796773" w14:textId="77777777" w:rsidR="00BF16D2" w:rsidRPr="00C56EE4" w:rsidRDefault="00C56EE4" w:rsidP="00BF16D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Pregled broja individualnih izvoznih dozvola izdanih u 2022. prema zemljama, vrsti i kategoriji robe, odobrenoj i realiziranoj vrijednosti </w:t>
      </w:r>
    </w:p>
    <w:tbl>
      <w:tblPr>
        <w:tblpPr w:leftFromText="180" w:rightFromText="180" w:vertAnchor="text" w:horzAnchor="margin" w:tblpXSpec="center" w:tblpY="69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123"/>
        <w:gridCol w:w="1966"/>
        <w:gridCol w:w="1263"/>
        <w:gridCol w:w="2000"/>
        <w:gridCol w:w="2387"/>
      </w:tblGrid>
      <w:tr w:rsidR="00BF16D2" w:rsidRPr="00D83F5A" w14:paraId="6283ADD9" w14:textId="77777777" w:rsidTr="00F67483">
        <w:trPr>
          <w:trHeight w:val="967"/>
        </w:trPr>
        <w:tc>
          <w:tcPr>
            <w:tcW w:w="1820" w:type="dxa"/>
            <w:shd w:val="clear" w:color="000000" w:fill="0070C0"/>
            <w:noWrap/>
            <w:vAlign w:val="center"/>
            <w:hideMark/>
          </w:tcPr>
          <w:p w14:paraId="548273F4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ZEMLJA IZVOZA</w:t>
            </w:r>
          </w:p>
        </w:tc>
        <w:tc>
          <w:tcPr>
            <w:tcW w:w="1123" w:type="dxa"/>
            <w:shd w:val="clear" w:color="000000" w:fill="0070C0"/>
            <w:vAlign w:val="center"/>
            <w:hideMark/>
          </w:tcPr>
          <w:p w14:paraId="2BA734EE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BROJ DOZVOLA</w:t>
            </w:r>
          </w:p>
        </w:tc>
        <w:tc>
          <w:tcPr>
            <w:tcW w:w="1966" w:type="dxa"/>
            <w:shd w:val="clear" w:color="000000" w:fill="0070C0"/>
            <w:noWrap/>
            <w:vAlign w:val="center"/>
            <w:hideMark/>
          </w:tcPr>
          <w:p w14:paraId="48A64768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VRSTA ROBE</w:t>
            </w:r>
          </w:p>
        </w:tc>
        <w:tc>
          <w:tcPr>
            <w:tcW w:w="1263" w:type="dxa"/>
            <w:shd w:val="clear" w:color="000000" w:fill="0070C0"/>
            <w:vAlign w:val="center"/>
            <w:hideMark/>
          </w:tcPr>
          <w:p w14:paraId="2E0E3C6C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KAT. ROBE S DVOJNOM NAMJENOM</w:t>
            </w:r>
          </w:p>
        </w:tc>
        <w:tc>
          <w:tcPr>
            <w:tcW w:w="2000" w:type="dxa"/>
            <w:shd w:val="clear" w:color="000000" w:fill="0070C0"/>
            <w:vAlign w:val="center"/>
            <w:hideMark/>
          </w:tcPr>
          <w:p w14:paraId="7330B454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ODOBRENA VRIJEDNOST</w:t>
            </w:r>
          </w:p>
          <w:p w14:paraId="2E82E417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U EUR</w:t>
            </w:r>
          </w:p>
        </w:tc>
        <w:tc>
          <w:tcPr>
            <w:tcW w:w="2387" w:type="dxa"/>
            <w:shd w:val="clear" w:color="000000" w:fill="0070C0"/>
            <w:vAlign w:val="center"/>
            <w:hideMark/>
          </w:tcPr>
          <w:p w14:paraId="6E751DA5" w14:textId="77777777" w:rsidR="00BF16D2" w:rsidRPr="00D83F5A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REALIZIRANA VRIJEDNOST</w:t>
            </w:r>
          </w:p>
          <w:p w14:paraId="1DFF343C" w14:textId="77777777" w:rsidR="00BF16D2" w:rsidRPr="00D83F5A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U EUR</w:t>
            </w:r>
          </w:p>
        </w:tc>
      </w:tr>
      <w:tr w:rsidR="00BF16D2" w:rsidRPr="00D83F5A" w14:paraId="4A3483F2" w14:textId="77777777" w:rsidTr="00F67483">
        <w:trPr>
          <w:trHeight w:val="550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0B145AE" w14:textId="77777777" w:rsidR="00BF16D2" w:rsidRPr="00BF16D2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BF16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BCB1AF9" w14:textId="77777777" w:rsidR="00BF16D2" w:rsidRPr="00B477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14:paraId="19D6988D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Posebni materijali i srodna oprema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58A727BF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1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1FACB204" w14:textId="77777777" w:rsidR="00BF16D2" w:rsidRPr="00B93251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990.307,48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3F35FEF2" w14:textId="77777777" w:rsidR="00BF16D2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826C4C" w14:textId="77777777" w:rsidR="00BF16D2" w:rsidRPr="00240336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403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27.139,04</w:t>
            </w:r>
          </w:p>
          <w:p w14:paraId="4781660B" w14:textId="77777777" w:rsidR="00BF16D2" w:rsidRPr="00D83F5A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</w:tr>
      <w:tr w:rsidR="00BF16D2" w:rsidRPr="00D83F5A" w14:paraId="24EFB01D" w14:textId="77777777" w:rsidTr="00F67483">
        <w:trPr>
          <w:trHeight w:val="544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5BB6AD7C" w14:textId="77777777" w:rsidR="00BF16D2" w:rsidRPr="00D83F5A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A2A4E55" w14:textId="77777777" w:rsidR="00BF16D2" w:rsidRPr="00B477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14:paraId="140BD605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251E27B4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2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10E5EC7A" w14:textId="77777777" w:rsidR="00BF16D2" w:rsidRPr="009A4D1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449.000,00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5FADADC1" w14:textId="77777777" w:rsidR="00BF16D2" w:rsidRPr="006A3932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189.000,00</w:t>
            </w:r>
          </w:p>
        </w:tc>
      </w:tr>
      <w:tr w:rsidR="00BF16D2" w:rsidRPr="00D83F5A" w14:paraId="70C92B94" w14:textId="77777777" w:rsidTr="00F67483">
        <w:trPr>
          <w:trHeight w:val="341"/>
        </w:trPr>
        <w:tc>
          <w:tcPr>
            <w:tcW w:w="18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440AB3" w14:textId="77777777" w:rsidR="00BF16D2" w:rsidRPr="00D83F5A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5B376A" w14:textId="77777777" w:rsidR="00BF16D2" w:rsidRPr="00B477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69B4CD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9E766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93F2678" w14:textId="51F9ADD0" w:rsidR="00BF16D2" w:rsidRPr="006E6808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106.994,28</w:t>
            </w: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6AB32D1" w14:textId="77777777" w:rsidR="00BF16D2" w:rsidRPr="006E6808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106.994,28</w:t>
            </w:r>
          </w:p>
        </w:tc>
      </w:tr>
      <w:tr w:rsidR="00BF16D2" w:rsidRPr="00D83F5A" w14:paraId="7FF157FA" w14:textId="77777777" w:rsidTr="00F67483">
        <w:trPr>
          <w:trHeight w:val="341"/>
        </w:trPr>
        <w:tc>
          <w:tcPr>
            <w:tcW w:w="18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99BAAF" w14:textId="77777777" w:rsidR="00BF16D2" w:rsidRPr="00D83F5A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D83F5A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9BB765" w14:textId="77777777" w:rsidR="00BF16D2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D78637" w14:textId="77777777" w:rsidR="00BF16D2" w:rsidRPr="00867EEE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Senzori i laseri 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4D4BC" w14:textId="77777777" w:rsidR="00BF16D2" w:rsidRPr="00B4775A" w:rsidRDefault="00C56EE4" w:rsidP="00C5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BF1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Kat.6</w:t>
            </w: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F4FF8BD" w14:textId="77777777" w:rsidR="00BF16D2" w:rsidRPr="006E6808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25.140,00</w:t>
            </w: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A0654D6" w14:textId="77777777" w:rsidR="00BF16D2" w:rsidRPr="006E6808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4.190,00</w:t>
            </w:r>
          </w:p>
        </w:tc>
      </w:tr>
      <w:tr w:rsidR="00BF16D2" w:rsidRPr="00D83F5A" w14:paraId="2C3AC831" w14:textId="77777777" w:rsidTr="00F67483">
        <w:trPr>
          <w:trHeight w:val="328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C90189" w14:textId="77777777" w:rsidR="00BF16D2" w:rsidRPr="00D627D5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D627D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4CDE62" w14:textId="77777777" w:rsidR="00BF16D2" w:rsidRPr="00B4775A" w:rsidRDefault="002810BE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20*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FC0182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D2C301" w14:textId="77777777" w:rsidR="00BF16D2" w:rsidRPr="00D83F5A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78FC1A0" w14:textId="77777777" w:rsidR="00BF16D2" w:rsidRPr="00D627D5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1.571.441,76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103DCCF" w14:textId="77777777" w:rsidR="00BF16D2" w:rsidRPr="00D627D5" w:rsidRDefault="006E680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327.323,32</w:t>
            </w:r>
          </w:p>
        </w:tc>
      </w:tr>
      <w:tr w:rsidR="00BF16D2" w:rsidRPr="00D83F5A" w14:paraId="085DAA0B" w14:textId="77777777" w:rsidTr="00F67483">
        <w:trPr>
          <w:trHeight w:val="527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ED538" w14:textId="77777777" w:rsidR="00BF16D2" w:rsidRPr="001C1DC7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1C1DC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SRBIJA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6A1E1" w14:textId="77777777" w:rsidR="00BF16D2" w:rsidRPr="001C1DC7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C1D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5DD1B16" w14:textId="77777777" w:rsidR="00BF16D2" w:rsidRPr="001C1DC7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1C1DC7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E651FD7" w14:textId="77777777" w:rsidR="00BF16D2" w:rsidRPr="001C1DC7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1C1DC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  <w:t>kat. 2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356E4" w14:textId="77777777" w:rsidR="00563431" w:rsidRPr="001C1DC7" w:rsidRDefault="00B54D35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2.641.511,26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95639" w14:textId="77777777" w:rsidR="00563431" w:rsidRPr="001C1DC7" w:rsidRDefault="00664A2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844.425,00</w:t>
            </w:r>
          </w:p>
        </w:tc>
      </w:tr>
      <w:tr w:rsidR="00BF16D2" w:rsidRPr="00D83F5A" w14:paraId="6DFEE339" w14:textId="77777777" w:rsidTr="00F67483">
        <w:trPr>
          <w:trHeight w:val="299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5119AD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SRBIJA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52C5B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788680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CCC818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5253AA1" w14:textId="77777777" w:rsidR="00BF16D2" w:rsidRPr="005336A9" w:rsidRDefault="00664A28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7.602,60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46FA58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7.6</w:t>
            </w:r>
            <w:r w:rsidR="00664A28"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02,60</w:t>
            </w:r>
          </w:p>
        </w:tc>
      </w:tr>
      <w:tr w:rsidR="00BF16D2" w:rsidRPr="00D83F5A" w14:paraId="59CCB8FD" w14:textId="77777777" w:rsidTr="00F67483">
        <w:trPr>
          <w:trHeight w:val="63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FF937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8A866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0F65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85F85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55651" w14:textId="4A574789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2.649.113,86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D5BEF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852.027,60</w:t>
            </w:r>
          </w:p>
        </w:tc>
      </w:tr>
      <w:tr w:rsidR="00BF16D2" w:rsidRPr="00D83F5A" w14:paraId="53C61A3F" w14:textId="77777777" w:rsidTr="00F67483">
        <w:trPr>
          <w:trHeight w:val="292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1A199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BRAZIL 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11C55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A8DA18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DC3B63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3351A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3.757,28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8F259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3.757,28</w:t>
            </w:r>
          </w:p>
        </w:tc>
      </w:tr>
      <w:tr w:rsidR="00BF16D2" w:rsidRPr="00D83F5A" w14:paraId="559542AD" w14:textId="77777777" w:rsidTr="00F67483">
        <w:trPr>
          <w:trHeight w:val="657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9BB86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BFF50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30E6EC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BBDF7BB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5966E" w14:textId="77777777" w:rsidR="00BF16D2" w:rsidRPr="003109A9" w:rsidRDefault="003109A9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3.757,28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8B719" w14:textId="77777777" w:rsidR="00BF16D2" w:rsidRPr="003109A9" w:rsidRDefault="003109A9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3.757,28</w:t>
            </w:r>
          </w:p>
        </w:tc>
      </w:tr>
      <w:tr w:rsidR="00BF16D2" w:rsidRPr="00D83F5A" w14:paraId="32689333" w14:textId="77777777" w:rsidTr="00F67483">
        <w:trPr>
          <w:trHeight w:val="294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BDCB5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KINA 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F013D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      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F7A2B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>Sveobuhvatna kontrola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EAAE0" w14:textId="77777777" w:rsidR="00BF16D2" w:rsidRPr="005336A9" w:rsidRDefault="00BF16D2" w:rsidP="00BF16D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5336A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>catch</w:t>
            </w:r>
            <w:proofErr w:type="spellEnd"/>
            <w:r w:rsidRPr="005336A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336A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>all</w:t>
            </w:r>
            <w:proofErr w:type="spellEnd"/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E1263" w14:textId="77777777" w:rsidR="00BF16D2" w:rsidRPr="003109A9" w:rsidRDefault="003109A9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41.516,06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456F3" w14:textId="77777777" w:rsidR="00BF16D2" w:rsidRPr="003109A9" w:rsidRDefault="003109A9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41.516,06</w:t>
            </w:r>
          </w:p>
        </w:tc>
      </w:tr>
      <w:tr w:rsidR="00BF16D2" w:rsidRPr="00D83F5A" w14:paraId="7D8D45E7" w14:textId="77777777" w:rsidTr="00F67483">
        <w:trPr>
          <w:trHeight w:val="373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E3ED15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0B2B7F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      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90A47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034B44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F6B5335" w14:textId="77777777" w:rsidR="00BF16D2" w:rsidRPr="003109A9" w:rsidRDefault="00BF16D2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109A9">
              <w:rPr>
                <w:rFonts w:ascii="Arial" w:hAnsi="Arial" w:cs="Arial"/>
                <w:color w:val="000000"/>
                <w:sz w:val="18"/>
                <w:szCs w:val="18"/>
              </w:rPr>
              <w:t>1.516,06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363FA7D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41.516,06</w:t>
            </w:r>
          </w:p>
        </w:tc>
      </w:tr>
      <w:tr w:rsidR="00BF16D2" w:rsidRPr="00D83F5A" w14:paraId="7792D185" w14:textId="77777777" w:rsidTr="00F67483">
        <w:trPr>
          <w:trHeight w:val="294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BFAD79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PAKISTAN 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6ECCDA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0B5B57E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>Sveobuhvatna kontrola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60064A2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Catch</w:t>
            </w:r>
            <w:proofErr w:type="spellEnd"/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–</w:t>
            </w:r>
            <w:proofErr w:type="spellStart"/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all</w:t>
            </w:r>
            <w:proofErr w:type="spellEnd"/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8218E18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2.382.780,00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A54F049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BF16D2" w:rsidRPr="00D83F5A" w14:paraId="6A483AC4" w14:textId="77777777" w:rsidTr="00F67483">
        <w:trPr>
          <w:trHeight w:val="518"/>
        </w:trPr>
        <w:tc>
          <w:tcPr>
            <w:tcW w:w="1820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567CD393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0DCD9CC6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40420C3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D69A198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noWrap/>
            <w:vAlign w:val="center"/>
          </w:tcPr>
          <w:p w14:paraId="68692C5E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2.382.780,00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noWrap/>
            <w:vAlign w:val="center"/>
          </w:tcPr>
          <w:p w14:paraId="25D7FE6C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BF16D2" w:rsidRPr="00D83F5A" w14:paraId="6AFBFB52" w14:textId="77777777" w:rsidTr="00F67483">
        <w:trPr>
          <w:trHeight w:val="518"/>
        </w:trPr>
        <w:tc>
          <w:tcPr>
            <w:tcW w:w="1820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7003609E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ALBANIJA 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4C9E916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A3DB82B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Posebni materijali i srodna oprema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CCF44F4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1</w:t>
            </w:r>
          </w:p>
        </w:tc>
        <w:tc>
          <w:tcPr>
            <w:tcW w:w="2000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noWrap/>
            <w:vAlign w:val="center"/>
          </w:tcPr>
          <w:p w14:paraId="26951DE2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7.080,00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4" w:space="0" w:color="4472C4" w:themeColor="accent1"/>
            </w:tcBorders>
            <w:shd w:val="clear" w:color="auto" w:fill="FFFFFF" w:themeFill="background1"/>
            <w:noWrap/>
            <w:vAlign w:val="center"/>
          </w:tcPr>
          <w:p w14:paraId="41A82764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4.019,00</w:t>
            </w:r>
          </w:p>
        </w:tc>
      </w:tr>
      <w:tr w:rsidR="00BF16D2" w:rsidRPr="00D83F5A" w14:paraId="054A7B57" w14:textId="77777777" w:rsidTr="00F67483">
        <w:trPr>
          <w:trHeight w:val="377"/>
        </w:trPr>
        <w:tc>
          <w:tcPr>
            <w:tcW w:w="1820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E56A61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ALBANIJA</w:t>
            </w:r>
          </w:p>
        </w:tc>
        <w:tc>
          <w:tcPr>
            <w:tcW w:w="1123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2EF329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66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3369A0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67F12D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09BFADB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3.334,23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AF35D2E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3.334,23</w:t>
            </w:r>
          </w:p>
        </w:tc>
      </w:tr>
      <w:tr w:rsidR="00BF16D2" w:rsidRPr="00D83F5A" w14:paraId="5427AB0E" w14:textId="77777777" w:rsidTr="00F67483">
        <w:trPr>
          <w:trHeight w:val="269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6A72FA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C9A767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27F84D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6D92AB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4A064CA" w14:textId="77777777" w:rsidR="003109A9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  <w:t>10.414,23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966B481" w14:textId="77777777" w:rsidR="003109A9" w:rsidRPr="003109A9" w:rsidRDefault="003109A9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7.353,23</w:t>
            </w:r>
          </w:p>
        </w:tc>
      </w:tr>
      <w:tr w:rsidR="00BF16D2" w:rsidRPr="00D83F5A" w14:paraId="705B4A2D" w14:textId="77777777" w:rsidTr="00F67483">
        <w:trPr>
          <w:trHeight w:val="394"/>
        </w:trPr>
        <w:tc>
          <w:tcPr>
            <w:tcW w:w="1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A0B09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KOSOVO 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60EA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FCD8B03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Posebni materijali i srodna oprema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B5AEA93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1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5E63D" w14:textId="77777777" w:rsidR="00BF16D2" w:rsidRPr="005336A9" w:rsidRDefault="003109A9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5.735,00</w:t>
            </w:r>
          </w:p>
        </w:tc>
        <w:tc>
          <w:tcPr>
            <w:tcW w:w="2387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E8E05" w14:textId="77777777" w:rsidR="00BF16D2" w:rsidRPr="005336A9" w:rsidRDefault="003109A9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2.971,12</w:t>
            </w:r>
          </w:p>
        </w:tc>
      </w:tr>
      <w:tr w:rsidR="00BF16D2" w:rsidRPr="00D83F5A" w14:paraId="322740A9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939A3FE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KOSOVO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33554D06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  <w:hideMark/>
          </w:tcPr>
          <w:p w14:paraId="6A789B7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shd w:val="clear" w:color="auto" w:fill="FFFFFF" w:themeFill="background1"/>
            <w:vAlign w:val="center"/>
            <w:hideMark/>
          </w:tcPr>
          <w:p w14:paraId="2FF23972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62C050CE" w14:textId="6FA77064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21.834,22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3007B13D" w14:textId="49717021" w:rsidR="00BF16D2" w:rsidRPr="005336A9" w:rsidRDefault="00F67483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21.834,22</w:t>
            </w:r>
          </w:p>
        </w:tc>
      </w:tr>
      <w:tr w:rsidR="00BF16D2" w:rsidRPr="00D83F5A" w14:paraId="2459BA12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26E86285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C185AF6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0D66769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EE170C7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1C69C5EF" w14:textId="52F0678F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27.569,22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10F50F54" w14:textId="7040EB0E" w:rsidR="00BF16D2" w:rsidRPr="005336A9" w:rsidRDefault="00F67483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24.805,34</w:t>
            </w:r>
          </w:p>
        </w:tc>
      </w:tr>
      <w:tr w:rsidR="00BF16D2" w:rsidRPr="00D83F5A" w14:paraId="443BB83E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214412FE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KUBA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B995491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  <w:hideMark/>
          </w:tcPr>
          <w:p w14:paraId="544E24A7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shd w:val="clear" w:color="auto" w:fill="FFFFFF" w:themeFill="background1"/>
            <w:vAlign w:val="center"/>
            <w:hideMark/>
          </w:tcPr>
          <w:p w14:paraId="54E0FCA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564A42CD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71.573,50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79F19706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BF16D2" w:rsidRPr="00D83F5A" w14:paraId="7C209FFA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4217EE20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B172608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321AC3AB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7D14AE4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4332E984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71.573,50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13353AE2" w14:textId="77777777" w:rsidR="00BF16D2" w:rsidRPr="005336A9" w:rsidRDefault="00BF16D2" w:rsidP="00F67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BF16D2" w:rsidRPr="007D26D3" w14:paraId="16F45E21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0AA63CA6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TURSKA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671657A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  <w:hideMark/>
          </w:tcPr>
          <w:p w14:paraId="674EC37F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1263" w:type="dxa"/>
            <w:shd w:val="clear" w:color="auto" w:fill="FFFFFF" w:themeFill="background1"/>
            <w:vAlign w:val="center"/>
            <w:hideMark/>
          </w:tcPr>
          <w:p w14:paraId="53AED898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2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75B829EA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352CE906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110.000,00</w:t>
            </w:r>
          </w:p>
        </w:tc>
      </w:tr>
      <w:tr w:rsidR="00BF16D2" w:rsidRPr="007D26D3" w14:paraId="7D0C9CA1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37CBCE63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0B980D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07914A0C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BD264D4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01731B3F" w14:textId="77777777" w:rsidR="00BF16D2" w:rsidRPr="005336A9" w:rsidRDefault="001C1DC7" w:rsidP="00F67483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</w:t>
            </w:r>
            <w:r w:rsidR="00BF16D2"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37E8E7AD" w14:textId="7A34F9C1" w:rsidR="00BF16D2" w:rsidRPr="005336A9" w:rsidRDefault="00BF16D2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110.000,00</w:t>
            </w:r>
          </w:p>
        </w:tc>
      </w:tr>
      <w:tr w:rsidR="00BF16D2" w:rsidRPr="00D83F5A" w14:paraId="4ACE9EF9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67E1CE69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SJEVERNA MAKEDONIJA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CB89126" w14:textId="77777777" w:rsidR="00BF16D2" w:rsidRPr="005336A9" w:rsidRDefault="00C56EE4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  <w:hideMark/>
          </w:tcPr>
          <w:p w14:paraId="2FA53413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1263" w:type="dxa"/>
            <w:shd w:val="clear" w:color="auto" w:fill="FFFFFF" w:themeFill="background1"/>
            <w:vAlign w:val="center"/>
            <w:hideMark/>
          </w:tcPr>
          <w:p w14:paraId="6FCB8B80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2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6EB39C17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2.197,00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7B782273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2.197,00</w:t>
            </w:r>
          </w:p>
        </w:tc>
      </w:tr>
      <w:tr w:rsidR="00BF16D2" w:rsidRPr="00D83F5A" w14:paraId="255A6DAA" w14:textId="77777777" w:rsidTr="00F67483">
        <w:trPr>
          <w:trHeight w:val="565"/>
        </w:trPr>
        <w:tc>
          <w:tcPr>
            <w:tcW w:w="1820" w:type="dxa"/>
            <w:shd w:val="clear" w:color="auto" w:fill="auto"/>
            <w:noWrap/>
            <w:vAlign w:val="center"/>
          </w:tcPr>
          <w:p w14:paraId="73B58069" w14:textId="77777777" w:rsidR="00BF16D2" w:rsidRPr="005336A9" w:rsidRDefault="00BF16D2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50C20B4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0D4F43E1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4EBC1D7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53782A4C" w14:textId="77777777" w:rsidR="00BF16D2" w:rsidRPr="005336A9" w:rsidRDefault="00BF16D2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2.197,00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43FB939B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2.197,00</w:t>
            </w:r>
          </w:p>
        </w:tc>
      </w:tr>
      <w:tr w:rsidR="00BF16D2" w:rsidRPr="007D26D3" w14:paraId="0CBEB3B8" w14:textId="77777777" w:rsidTr="00F67483">
        <w:trPr>
          <w:trHeight w:val="1226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192DC9C2" w14:textId="77777777" w:rsidR="00051860" w:rsidRPr="005336A9" w:rsidRDefault="00563431" w:rsidP="00BF16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BJELARUS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CA1D765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  <w:hideMark/>
          </w:tcPr>
          <w:p w14:paraId="37D0EED8" w14:textId="77777777" w:rsidR="00BF16D2" w:rsidRPr="005336A9" w:rsidRDefault="00BF16D2" w:rsidP="001C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1263" w:type="dxa"/>
            <w:shd w:val="clear" w:color="auto" w:fill="FFFFFF" w:themeFill="background1"/>
            <w:vAlign w:val="center"/>
            <w:hideMark/>
          </w:tcPr>
          <w:p w14:paraId="6567B44D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 5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  <w:hideMark/>
          </w:tcPr>
          <w:p w14:paraId="0DDED328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1.158.427,08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  <w:hideMark/>
          </w:tcPr>
          <w:p w14:paraId="38576B5D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F16D2" w:rsidRPr="007D26D3" w14:paraId="57216538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0B0140A9" w14:textId="77777777" w:rsidR="00BF16D2" w:rsidRPr="005336A9" w:rsidRDefault="00563431" w:rsidP="00BF1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BJELARUS 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A1A4A51" w14:textId="77777777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6DA1E4BB" w14:textId="77777777" w:rsidR="00BF16D2" w:rsidRPr="005336A9" w:rsidRDefault="00BF16D2" w:rsidP="001C1D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Uredba (EZ) 765/2006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923F5C" w14:textId="7C973019" w:rsidR="00BF16D2" w:rsidRPr="005336A9" w:rsidRDefault="00BF16D2" w:rsidP="00BF1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Prilog </w:t>
            </w:r>
            <w:proofErr w:type="spellStart"/>
            <w:r w:rsidR="00297008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Pr="005336A9">
              <w:rPr>
                <w:rFonts w:ascii="Arial" w:hAnsi="Arial" w:cs="Arial"/>
                <w:color w:val="000000" w:themeColor="text1"/>
                <w:sz w:val="18"/>
                <w:szCs w:val="18"/>
              </w:rPr>
              <w:t>.a</w:t>
            </w:r>
            <w:proofErr w:type="spellEnd"/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169576AE" w14:textId="77777777" w:rsidR="00BF16D2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13.365.448,97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7EF6A4E8" w14:textId="77777777" w:rsidR="00BF16D2" w:rsidRPr="005336A9" w:rsidRDefault="00664A28" w:rsidP="00F6748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1.175.705,70</w:t>
            </w:r>
          </w:p>
        </w:tc>
      </w:tr>
      <w:tr w:rsidR="00664A28" w:rsidRPr="007D26D3" w14:paraId="14051C72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373508CF" w14:textId="77777777" w:rsidR="00664A28" w:rsidRPr="005336A9" w:rsidRDefault="00563431" w:rsidP="00664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BJELARUS 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89FC385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741C8261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Uredba (EZ) 765/2006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4C2C4DE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Ugovor o financiranju 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3F07356A" w14:textId="77777777" w:rsidR="00664A28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349.899,93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12990943" w14:textId="77777777" w:rsidR="00664A28" w:rsidRPr="005336A9" w:rsidRDefault="00664A28" w:rsidP="00F6748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4A28" w:rsidRPr="007D26D3" w14:paraId="32A8EB41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2320F15F" w14:textId="32E4D093" w:rsidR="00664A28" w:rsidRPr="005336A9" w:rsidRDefault="00664A28" w:rsidP="00664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1D88694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2AAFB708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D6A86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47BC6E7F" w14:textId="77777777" w:rsidR="00664A28" w:rsidRPr="005336A9" w:rsidRDefault="00664A28" w:rsidP="00F6748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14.873.775,98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22E7D37B" w14:textId="77777777" w:rsidR="00664A28" w:rsidRPr="005336A9" w:rsidRDefault="00664A28" w:rsidP="00F6748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1.175.705,70</w:t>
            </w:r>
          </w:p>
        </w:tc>
      </w:tr>
      <w:tr w:rsidR="00664A28" w:rsidRPr="007D26D3" w14:paraId="02245203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1555E0BA" w14:textId="77777777" w:rsidR="005D390F" w:rsidRPr="005336A9" w:rsidRDefault="00664A28" w:rsidP="00664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UJEDINJENO KRALJEVSTVO *</w:t>
            </w:r>
            <w:r w:rsidR="005D390F"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*</w:t>
            </w:r>
          </w:p>
          <w:p w14:paraId="1A9AF752" w14:textId="77777777" w:rsidR="005D390F" w:rsidRPr="005336A9" w:rsidRDefault="005D390F" w:rsidP="00664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60EBDA9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3E8ED110" w14:textId="77777777" w:rsidR="00664A28" w:rsidRPr="005336A9" w:rsidRDefault="00563431" w:rsidP="00664A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Posebni materijali i srodna oprema</w:t>
            </w:r>
          </w:p>
          <w:p w14:paraId="07F73665" w14:textId="77777777" w:rsidR="00563431" w:rsidRPr="005336A9" w:rsidRDefault="00563431" w:rsidP="00664A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</w:rPr>
              <w:t>Zračni i svemirski prostor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EE8387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Kat. 1 i 9 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2638ACC8" w14:textId="77777777" w:rsidR="00664A28" w:rsidRPr="005336A9" w:rsidRDefault="00563431" w:rsidP="00F6748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1.145.080,00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67494D38" w14:textId="77777777" w:rsidR="00664A28" w:rsidRPr="005336A9" w:rsidRDefault="00563431" w:rsidP="00F6748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50.000,00</w:t>
            </w:r>
          </w:p>
        </w:tc>
      </w:tr>
      <w:tr w:rsidR="00664A28" w:rsidRPr="007D26D3" w14:paraId="1A43B8E3" w14:textId="77777777" w:rsidTr="00F67483">
        <w:trPr>
          <w:trHeight w:val="419"/>
        </w:trPr>
        <w:tc>
          <w:tcPr>
            <w:tcW w:w="1820" w:type="dxa"/>
            <w:shd w:val="clear" w:color="auto" w:fill="auto"/>
            <w:noWrap/>
            <w:vAlign w:val="center"/>
          </w:tcPr>
          <w:p w14:paraId="466AE973" w14:textId="77777777" w:rsidR="00664A28" w:rsidRPr="005336A9" w:rsidRDefault="00664A28" w:rsidP="00664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E8AA8A4" w14:textId="77777777" w:rsidR="00664A28" w:rsidRPr="005336A9" w:rsidRDefault="00563431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7874471C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FD8EB78" w14:textId="77777777" w:rsidR="00664A28" w:rsidRPr="005336A9" w:rsidRDefault="00664A28" w:rsidP="0066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000" w:type="dxa"/>
            <w:shd w:val="clear" w:color="auto" w:fill="FFFFFF" w:themeFill="background1"/>
            <w:noWrap/>
            <w:vAlign w:val="center"/>
          </w:tcPr>
          <w:p w14:paraId="01268162" w14:textId="77777777" w:rsidR="00664A28" w:rsidRPr="005336A9" w:rsidRDefault="00563431" w:rsidP="00F6748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2.290.160,00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14:paraId="3D3E4E04" w14:textId="77777777" w:rsidR="00664A28" w:rsidRPr="005336A9" w:rsidRDefault="00563431" w:rsidP="00F6748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50.000,00</w:t>
            </w:r>
          </w:p>
        </w:tc>
      </w:tr>
    </w:tbl>
    <w:p w14:paraId="33189BB5" w14:textId="77777777" w:rsidR="002810BE" w:rsidRDefault="002810BE" w:rsidP="00281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A2DEB" w14:textId="77777777" w:rsidR="004138E0" w:rsidRDefault="002810BE" w:rsidP="002810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810BE">
        <w:rPr>
          <w:rFonts w:ascii="Times New Roman" w:hAnsi="Times New Roman" w:cs="Times New Roman"/>
          <w:sz w:val="20"/>
          <w:szCs w:val="20"/>
        </w:rPr>
        <w:t>Napomena za BIH: izdano je 20 dozvola, 1 dozvola je sadržavala kategorije robe 1 i 6</w:t>
      </w:r>
    </w:p>
    <w:p w14:paraId="51606EEE" w14:textId="77777777" w:rsidR="005D390F" w:rsidRPr="002810BE" w:rsidRDefault="005D390F" w:rsidP="002810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Napomena za UK: izdane su 2 dozvole koje su sadržavale kategorije robe 1 i 9 </w:t>
      </w:r>
    </w:p>
    <w:p w14:paraId="7B8C8323" w14:textId="77777777" w:rsidR="0004627A" w:rsidRDefault="0004627A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588FDE62" w14:textId="77777777" w:rsidR="00E3262E" w:rsidRDefault="00E3262E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22533B6E" w14:textId="77777777" w:rsidR="00E3262E" w:rsidRDefault="00E3262E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6E1BBF07" w14:textId="77777777" w:rsidR="008D1B17" w:rsidRDefault="008D1B17" w:rsidP="00E3262E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p w14:paraId="397C681A" w14:textId="77777777" w:rsidR="005336A9" w:rsidRDefault="005336A9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4B29152" w14:textId="77777777" w:rsidR="005336A9" w:rsidRDefault="005336A9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17DFBDE" w14:textId="77777777" w:rsidR="005336A9" w:rsidRDefault="005336A9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4178A" w14:textId="77777777" w:rsidR="008F095C" w:rsidRDefault="008F095C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1191DD" w14:textId="77777777" w:rsidR="00984E3D" w:rsidRDefault="00984E3D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64379FC" w14:textId="77777777" w:rsidR="009D202C" w:rsidRDefault="009D202C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E52E9E2" w14:textId="77777777" w:rsidR="00F67483" w:rsidRDefault="00F67483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5D9A143" w14:textId="1F154709" w:rsidR="00E3262E" w:rsidRDefault="00E3262E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Tablica 8</w:t>
      </w:r>
    </w:p>
    <w:p w14:paraId="690C6C57" w14:textId="77777777" w:rsidR="00E3262E" w:rsidRPr="00C56EE4" w:rsidRDefault="00E3262E" w:rsidP="00E326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Pregled broja individualnih izvoznih dozvola izdanih u 2021. i realiziranih u 2022.  prema zemljama, vrsti i kategoriji robe, odobrenoj i realiziranoj vrijednosti </w:t>
      </w:r>
    </w:p>
    <w:p w14:paraId="1CA5401E" w14:textId="77777777" w:rsidR="00E3262E" w:rsidRPr="00D83F5A" w:rsidRDefault="00E3262E" w:rsidP="00E3262E">
      <w:pPr>
        <w:spacing w:after="0"/>
        <w:rPr>
          <w:rFonts w:eastAsia="Calibri" w:cs="Times New Roman"/>
          <w:szCs w:val="24"/>
          <w:lang w:val="la-Latn"/>
        </w:rPr>
      </w:pPr>
    </w:p>
    <w:tbl>
      <w:tblPr>
        <w:tblW w:w="553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708"/>
        <w:gridCol w:w="1138"/>
        <w:gridCol w:w="1827"/>
        <w:gridCol w:w="1452"/>
        <w:gridCol w:w="2110"/>
        <w:gridCol w:w="2110"/>
      </w:tblGrid>
      <w:tr w:rsidR="00E3262E" w:rsidRPr="00D83F5A" w14:paraId="19289EB2" w14:textId="77777777" w:rsidTr="00F65D4A">
        <w:trPr>
          <w:cantSplit/>
          <w:trHeight w:val="88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9971B4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ZEMLJA IZVOZA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BABBFB6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BROJ DOZVOLA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E6813C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VRSTA ROBE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3F8A5A7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KATEGORIJA ROBE S DVOJNOM NAMJENOM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4F7BCC0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ODOBRENA VRIJEDNOST</w:t>
            </w:r>
          </w:p>
          <w:p w14:paraId="6F10FDB8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U EUR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9E2723A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REALIZIRANA VRIJEDNOST</w:t>
            </w:r>
          </w:p>
          <w:p w14:paraId="7F451AF8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la-Latn" w:eastAsia="hr-HR"/>
              </w:rPr>
              <w:t>U EUR</w:t>
            </w:r>
          </w:p>
        </w:tc>
      </w:tr>
      <w:tr w:rsidR="00E3262E" w:rsidRPr="00D83F5A" w14:paraId="24D7218A" w14:textId="77777777" w:rsidTr="00F65D4A">
        <w:trPr>
          <w:trHeight w:val="8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D38" w14:textId="77777777" w:rsidR="00E3262E" w:rsidRPr="005336A9" w:rsidRDefault="00E3262E" w:rsidP="00FC59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7CEA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81977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B8D5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8B9D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6.564,99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BD67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6.564,99</w:t>
            </w:r>
          </w:p>
        </w:tc>
      </w:tr>
      <w:tr w:rsidR="00E3262E" w:rsidRPr="00D83F5A" w14:paraId="6E62D458" w14:textId="77777777" w:rsidTr="00F65D4A">
        <w:trPr>
          <w:trHeight w:val="420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6E31" w14:textId="77777777" w:rsidR="00E3262E" w:rsidRPr="005336A9" w:rsidRDefault="00E3262E" w:rsidP="00FC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la-Latn" w:eastAsia="hr-HR"/>
              </w:rPr>
              <w:t>BOSNA I HERCEGOVINA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D72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00AC4" w14:textId="77777777" w:rsidR="00E3262E" w:rsidRPr="005336A9" w:rsidRDefault="00E3262E" w:rsidP="00FC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  <w:t> </w:t>
            </w: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DE91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  <w:t>kat.2</w:t>
            </w: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  <w:t> 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098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185F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</w:tr>
      <w:tr w:rsidR="00E3262E" w:rsidRPr="00D83F5A" w14:paraId="026B7074" w14:textId="77777777" w:rsidTr="00F65D4A">
        <w:trPr>
          <w:trHeight w:val="587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1A05" w14:textId="77777777" w:rsidR="00E3262E" w:rsidRPr="005336A9" w:rsidRDefault="00E3262E" w:rsidP="00FC590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  <w:t>UKUPNO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1AF1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E6353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1D79" w14:textId="77777777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9F3E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61.564,99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0A21" w14:textId="77777777" w:rsidR="00E3262E" w:rsidRPr="005336A9" w:rsidRDefault="00E3262E" w:rsidP="004216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61.564,99</w:t>
            </w:r>
          </w:p>
        </w:tc>
      </w:tr>
      <w:tr w:rsidR="00984E3D" w:rsidRPr="00D83F5A" w14:paraId="2655AC86" w14:textId="77777777" w:rsidTr="00F65D4A">
        <w:trPr>
          <w:trHeight w:val="882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B4D6" w14:textId="7F2C2D02" w:rsidR="00984E3D" w:rsidRPr="005336A9" w:rsidRDefault="00984E3D" w:rsidP="00FC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KUBA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568C" w14:textId="683C66AE" w:rsidR="00984E3D" w:rsidRPr="005336A9" w:rsidRDefault="00984E3D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B2CC6" w14:textId="7B3801AF" w:rsidR="00984E3D" w:rsidRPr="005336A9" w:rsidRDefault="00984E3D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Telekomunikacije i "sigurnost informacija"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2D5C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  <w:t>kat.5</w:t>
            </w:r>
          </w:p>
          <w:p w14:paraId="49E181C5" w14:textId="77777777" w:rsidR="00984E3D" w:rsidRPr="005336A9" w:rsidRDefault="00984E3D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343C" w14:textId="0971D507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40.413,20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E18C" w14:textId="7970F8C1" w:rsidR="00984E3D" w:rsidRPr="0042163C" w:rsidRDefault="0042163C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40.413,20</w:t>
            </w:r>
          </w:p>
        </w:tc>
      </w:tr>
      <w:tr w:rsidR="00E3262E" w:rsidRPr="00D83F5A" w14:paraId="6CEBD946" w14:textId="77777777" w:rsidTr="00F65D4A">
        <w:trPr>
          <w:trHeight w:val="587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CB29" w14:textId="24A1593F" w:rsidR="00E3262E" w:rsidRPr="005336A9" w:rsidRDefault="00984E3D" w:rsidP="00FC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C681" w14:textId="6B4F9CB9" w:rsidR="00E3262E" w:rsidRPr="005336A9" w:rsidRDefault="00E3262E" w:rsidP="00FC5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F0EEB" w14:textId="7D2478B7" w:rsidR="00E3262E" w:rsidRPr="005336A9" w:rsidRDefault="00E3262E" w:rsidP="00706D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DE53" w14:textId="77777777" w:rsidR="00E3262E" w:rsidRPr="005336A9" w:rsidRDefault="00E3262E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C5CE" w14:textId="65A67917" w:rsidR="00E3262E" w:rsidRPr="005336A9" w:rsidRDefault="00984E3D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40.413,20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A0EF" w14:textId="6E25BC27" w:rsidR="00E3262E" w:rsidRPr="005336A9" w:rsidRDefault="00984E3D" w:rsidP="0042163C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40.413,20</w:t>
            </w:r>
          </w:p>
        </w:tc>
      </w:tr>
      <w:tr w:rsidR="00984E3D" w:rsidRPr="00D83F5A" w14:paraId="78713B2E" w14:textId="77777777" w:rsidTr="00F65D4A">
        <w:trPr>
          <w:trHeight w:val="420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3436" w14:textId="39DB4321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SJEVERNA MAKEDONIJA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D71A" w14:textId="57055F26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2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EF855" w14:textId="35CFDA3B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hAnsi="Arial" w:cs="Arial"/>
                <w:color w:val="000000"/>
                <w:sz w:val="18"/>
                <w:szCs w:val="18"/>
                <w:lang w:val="la-Latn"/>
              </w:rPr>
              <w:t>Obrada materijala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A056" w14:textId="2732ABC2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  <w:t>kat.2</w:t>
            </w: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  <w:t> 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2856" w14:textId="2536F505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70.448,42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4CBA" w14:textId="45223F50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54.172,25</w:t>
            </w:r>
          </w:p>
        </w:tc>
      </w:tr>
      <w:tr w:rsidR="00984E3D" w:rsidRPr="00D83F5A" w14:paraId="1AA92AF0" w14:textId="77777777" w:rsidTr="00F65D4A">
        <w:trPr>
          <w:trHeight w:val="8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C15" w14:textId="4D724C5C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5B96" w14:textId="5336B82E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347B0" w14:textId="2027494B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D546" w14:textId="12FA4B9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9F5" w14:textId="10A9CA14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70.448,42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F970" w14:textId="3881BD53" w:rsidR="00984E3D" w:rsidRPr="0042163C" w:rsidRDefault="0042163C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54.172,25</w:t>
            </w:r>
          </w:p>
        </w:tc>
      </w:tr>
      <w:tr w:rsidR="00984E3D" w:rsidRPr="00D83F5A" w14:paraId="796E5FDA" w14:textId="77777777" w:rsidTr="00F65D4A">
        <w:trPr>
          <w:trHeight w:val="420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E638" w14:textId="285EAF60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PAKISTAN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D28D" w14:textId="6DA8FEAA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64DC2" w14:textId="4C37E358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CATCH ALL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B97B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1C1" w14:textId="57BD69B4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75.100,00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9770" w14:textId="1C094509" w:rsidR="00984E3D" w:rsidRPr="005336A9" w:rsidRDefault="00984E3D" w:rsidP="004216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la-Latn"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75.100,00</w:t>
            </w:r>
          </w:p>
        </w:tc>
      </w:tr>
      <w:tr w:rsidR="00984E3D" w:rsidRPr="00D83F5A" w14:paraId="46688AE4" w14:textId="77777777" w:rsidTr="00F65D4A">
        <w:trPr>
          <w:trHeight w:val="8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28EE" w14:textId="0E4BE287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A50" w14:textId="6D0ED908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5D6AF" w14:textId="357B09E8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C8B8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02F" w14:textId="4392614D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75.100,00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3FF0" w14:textId="4B8E1808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75.100,00</w:t>
            </w:r>
          </w:p>
        </w:tc>
      </w:tr>
      <w:tr w:rsidR="00984E3D" w:rsidRPr="00D83F5A" w14:paraId="19F74433" w14:textId="77777777" w:rsidTr="00F65D4A">
        <w:trPr>
          <w:trHeight w:val="420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2937" w14:textId="40AE9F5A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KINA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B65" w14:textId="53600538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B386C" w14:textId="27997239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  <w:t> </w:t>
            </w:r>
            <w:r w:rsidRPr="005336A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CATCH ALL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3BD6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7D9" w14:textId="4337A188" w:rsidR="00984E3D" w:rsidRPr="00984E3D" w:rsidRDefault="00984E3D" w:rsidP="004216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E3D">
              <w:rPr>
                <w:rFonts w:ascii="Arial" w:hAnsi="Arial" w:cs="Arial"/>
                <w:sz w:val="18"/>
                <w:szCs w:val="18"/>
              </w:rPr>
              <w:t>700.000,00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822" w14:textId="701F4235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sz w:val="18"/>
                <w:szCs w:val="18"/>
              </w:rPr>
              <w:t>663.821,72</w:t>
            </w:r>
          </w:p>
        </w:tc>
      </w:tr>
      <w:tr w:rsidR="00984E3D" w:rsidRPr="00D83F5A" w14:paraId="25992815" w14:textId="77777777" w:rsidTr="00F65D4A">
        <w:trPr>
          <w:trHeight w:val="420"/>
        </w:trPr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E7F4" w14:textId="5AFE05C9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36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3D34" w14:textId="25B5224B" w:rsidR="00984E3D" w:rsidRPr="00984E3D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CCB41" w14:textId="77777777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74E0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7D62" w14:textId="756F9A19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700.000,00</w:t>
            </w:r>
          </w:p>
        </w:tc>
        <w:tc>
          <w:tcPr>
            <w:tcW w:w="10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E16E" w14:textId="3EA6FE67" w:rsidR="00984E3D" w:rsidRPr="005336A9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6A9">
              <w:rPr>
                <w:rFonts w:ascii="Arial" w:hAnsi="Arial" w:cs="Arial"/>
                <w:b/>
                <w:sz w:val="18"/>
                <w:szCs w:val="18"/>
              </w:rPr>
              <w:t>663.821,72</w:t>
            </w:r>
          </w:p>
        </w:tc>
      </w:tr>
      <w:tr w:rsidR="00984E3D" w:rsidRPr="00D83F5A" w14:paraId="35FEC278" w14:textId="77777777" w:rsidTr="00F65D4A">
        <w:trPr>
          <w:trHeight w:val="8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6C8A" w14:textId="77777777" w:rsidR="00984E3D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SVEUKUPNA </w:t>
            </w:r>
          </w:p>
          <w:p w14:paraId="3E0015D2" w14:textId="057EC213" w:rsidR="00984E3D" w:rsidRPr="005336A9" w:rsidRDefault="00984E3D" w:rsidP="00984E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VRIJEDNOST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318" w14:textId="46EED4A1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1E655" w14:textId="5B35520C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a-Latn" w:eastAsia="hr-HR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A2F" w14:textId="77777777" w:rsidR="00984E3D" w:rsidRPr="005336A9" w:rsidRDefault="00984E3D" w:rsidP="0098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la-Latn" w:eastAsia="hr-H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7EE" w14:textId="05C69E21" w:rsidR="00984E3D" w:rsidRPr="00984E3D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E3D">
              <w:rPr>
                <w:rFonts w:ascii="Arial" w:hAnsi="Arial" w:cs="Arial"/>
                <w:b/>
                <w:sz w:val="18"/>
                <w:szCs w:val="18"/>
              </w:rPr>
              <w:t>947.526,61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A8C" w14:textId="253027D5" w:rsidR="00984E3D" w:rsidRPr="00984E3D" w:rsidRDefault="00984E3D" w:rsidP="004216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E3D">
              <w:rPr>
                <w:rFonts w:ascii="Arial" w:hAnsi="Arial" w:cs="Arial"/>
                <w:b/>
                <w:sz w:val="18"/>
                <w:szCs w:val="18"/>
              </w:rPr>
              <w:t>895.072,16</w:t>
            </w:r>
          </w:p>
        </w:tc>
      </w:tr>
    </w:tbl>
    <w:p w14:paraId="07B77597" w14:textId="77777777" w:rsidR="00E3262E" w:rsidRPr="00D83F5A" w:rsidRDefault="00E3262E" w:rsidP="00E3262E">
      <w:pPr>
        <w:spacing w:after="0"/>
        <w:rPr>
          <w:rFonts w:eastAsia="Calibri" w:cs="Times New Roman"/>
          <w:b/>
          <w:szCs w:val="24"/>
          <w:lang w:val="la-Latn"/>
        </w:rPr>
      </w:pPr>
    </w:p>
    <w:p w14:paraId="2426C9B8" w14:textId="77777777" w:rsidR="00E3262E" w:rsidRPr="00AE4043" w:rsidRDefault="00E3262E" w:rsidP="00AE4043">
      <w:pPr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</w:pPr>
    </w:p>
    <w:sectPr w:rsidR="00E3262E" w:rsidRPr="00AE404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DFB94" w14:textId="77777777" w:rsidR="001D3565" w:rsidRDefault="001D3565" w:rsidP="008922AE">
      <w:pPr>
        <w:spacing w:after="0" w:line="240" w:lineRule="auto"/>
      </w:pPr>
      <w:r>
        <w:separator/>
      </w:r>
    </w:p>
  </w:endnote>
  <w:endnote w:type="continuationSeparator" w:id="0">
    <w:p w14:paraId="0E9513CC" w14:textId="77777777" w:rsidR="001D3565" w:rsidRDefault="001D3565" w:rsidP="0089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70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BB574" w14:textId="0A67A26B" w:rsidR="00752262" w:rsidRDefault="007522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D2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E45BFDA" w14:textId="77777777" w:rsidR="00752262" w:rsidRDefault="0075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5F014" w14:textId="77777777" w:rsidR="001D3565" w:rsidRDefault="001D3565" w:rsidP="008922AE">
      <w:pPr>
        <w:spacing w:after="0" w:line="240" w:lineRule="auto"/>
      </w:pPr>
      <w:r>
        <w:separator/>
      </w:r>
    </w:p>
  </w:footnote>
  <w:footnote w:type="continuationSeparator" w:id="0">
    <w:p w14:paraId="790E9051" w14:textId="77777777" w:rsidR="001D3565" w:rsidRDefault="001D3565" w:rsidP="0089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D9"/>
    <w:multiLevelType w:val="hybridMultilevel"/>
    <w:tmpl w:val="D0AA9C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71EF"/>
    <w:multiLevelType w:val="hybridMultilevel"/>
    <w:tmpl w:val="6E204B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B79"/>
    <w:multiLevelType w:val="multilevel"/>
    <w:tmpl w:val="7CDEB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3E3920"/>
    <w:multiLevelType w:val="multilevel"/>
    <w:tmpl w:val="30327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FA6DDD"/>
    <w:multiLevelType w:val="hybridMultilevel"/>
    <w:tmpl w:val="335A8008"/>
    <w:lvl w:ilvl="0" w:tplc="E15646E6">
      <w:start w:val="2"/>
      <w:numFmt w:val="bullet"/>
      <w:lvlText w:val="-"/>
      <w:lvlJc w:val="left"/>
      <w:pPr>
        <w:ind w:left="17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2CE622AF"/>
    <w:multiLevelType w:val="hybridMultilevel"/>
    <w:tmpl w:val="7BA01DA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3B97"/>
    <w:multiLevelType w:val="hybridMultilevel"/>
    <w:tmpl w:val="B4B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4717"/>
    <w:multiLevelType w:val="hybridMultilevel"/>
    <w:tmpl w:val="DFBA9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823D2"/>
    <w:multiLevelType w:val="hybridMultilevel"/>
    <w:tmpl w:val="C652E4D6"/>
    <w:lvl w:ilvl="0" w:tplc="3BA22138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2800"/>
    <w:multiLevelType w:val="hybridMultilevel"/>
    <w:tmpl w:val="3D0A0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90033D"/>
    <w:multiLevelType w:val="hybridMultilevel"/>
    <w:tmpl w:val="19EE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24B7B"/>
    <w:multiLevelType w:val="hybridMultilevel"/>
    <w:tmpl w:val="CF602EB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C40366"/>
    <w:multiLevelType w:val="hybridMultilevel"/>
    <w:tmpl w:val="B024F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26B"/>
    <w:multiLevelType w:val="multilevel"/>
    <w:tmpl w:val="899A4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F664F4C"/>
    <w:multiLevelType w:val="hybridMultilevel"/>
    <w:tmpl w:val="08200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D2"/>
    <w:rsid w:val="0000006D"/>
    <w:rsid w:val="00004D92"/>
    <w:rsid w:val="000122E1"/>
    <w:rsid w:val="00012325"/>
    <w:rsid w:val="00015BD3"/>
    <w:rsid w:val="000231F8"/>
    <w:rsid w:val="000254F5"/>
    <w:rsid w:val="000270B7"/>
    <w:rsid w:val="00030B55"/>
    <w:rsid w:val="00041550"/>
    <w:rsid w:val="0004257C"/>
    <w:rsid w:val="0004627A"/>
    <w:rsid w:val="00050E86"/>
    <w:rsid w:val="00051860"/>
    <w:rsid w:val="00052605"/>
    <w:rsid w:val="00053B4C"/>
    <w:rsid w:val="00054501"/>
    <w:rsid w:val="000579A5"/>
    <w:rsid w:val="00073C02"/>
    <w:rsid w:val="00077B96"/>
    <w:rsid w:val="0008208A"/>
    <w:rsid w:val="00096410"/>
    <w:rsid w:val="000A3A71"/>
    <w:rsid w:val="000A4566"/>
    <w:rsid w:val="000B122F"/>
    <w:rsid w:val="000B36DE"/>
    <w:rsid w:val="000C1512"/>
    <w:rsid w:val="000C73EA"/>
    <w:rsid w:val="000E10D2"/>
    <w:rsid w:val="000F4283"/>
    <w:rsid w:val="00123D45"/>
    <w:rsid w:val="0019517F"/>
    <w:rsid w:val="00195262"/>
    <w:rsid w:val="0019748A"/>
    <w:rsid w:val="001A6843"/>
    <w:rsid w:val="001A696E"/>
    <w:rsid w:val="001B6D1A"/>
    <w:rsid w:val="001C1DC7"/>
    <w:rsid w:val="001C2B7B"/>
    <w:rsid w:val="001C427E"/>
    <w:rsid w:val="001C5E17"/>
    <w:rsid w:val="001D3565"/>
    <w:rsid w:val="001D6CA1"/>
    <w:rsid w:val="001E2EA0"/>
    <w:rsid w:val="001F24B9"/>
    <w:rsid w:val="001F4BCD"/>
    <w:rsid w:val="002810BE"/>
    <w:rsid w:val="002937B7"/>
    <w:rsid w:val="00295D80"/>
    <w:rsid w:val="00297008"/>
    <w:rsid w:val="002C15D0"/>
    <w:rsid w:val="002F4746"/>
    <w:rsid w:val="00300422"/>
    <w:rsid w:val="003109A9"/>
    <w:rsid w:val="00313778"/>
    <w:rsid w:val="003142D9"/>
    <w:rsid w:val="00320DC5"/>
    <w:rsid w:val="00324172"/>
    <w:rsid w:val="0032490F"/>
    <w:rsid w:val="00334270"/>
    <w:rsid w:val="00334A78"/>
    <w:rsid w:val="00334F2C"/>
    <w:rsid w:val="003469DA"/>
    <w:rsid w:val="003532DD"/>
    <w:rsid w:val="00355D67"/>
    <w:rsid w:val="00361A3C"/>
    <w:rsid w:val="00365AF9"/>
    <w:rsid w:val="00375CEB"/>
    <w:rsid w:val="003940FF"/>
    <w:rsid w:val="00397B82"/>
    <w:rsid w:val="003A3091"/>
    <w:rsid w:val="003A3D3E"/>
    <w:rsid w:val="003E3036"/>
    <w:rsid w:val="003E64E0"/>
    <w:rsid w:val="003F7DA6"/>
    <w:rsid w:val="00401125"/>
    <w:rsid w:val="004138E0"/>
    <w:rsid w:val="0041572C"/>
    <w:rsid w:val="0042163C"/>
    <w:rsid w:val="00431A82"/>
    <w:rsid w:val="00432351"/>
    <w:rsid w:val="004519DB"/>
    <w:rsid w:val="004620B1"/>
    <w:rsid w:val="00493E19"/>
    <w:rsid w:val="004A2114"/>
    <w:rsid w:val="005005D2"/>
    <w:rsid w:val="0051143D"/>
    <w:rsid w:val="005250D8"/>
    <w:rsid w:val="005336A9"/>
    <w:rsid w:val="00545BA6"/>
    <w:rsid w:val="00546C83"/>
    <w:rsid w:val="00560517"/>
    <w:rsid w:val="00563431"/>
    <w:rsid w:val="00565177"/>
    <w:rsid w:val="00580636"/>
    <w:rsid w:val="005B1F67"/>
    <w:rsid w:val="005B34C7"/>
    <w:rsid w:val="005D1352"/>
    <w:rsid w:val="005D390F"/>
    <w:rsid w:val="005E3E65"/>
    <w:rsid w:val="0061313F"/>
    <w:rsid w:val="00617477"/>
    <w:rsid w:val="0062052D"/>
    <w:rsid w:val="00622755"/>
    <w:rsid w:val="00622CF3"/>
    <w:rsid w:val="00623F36"/>
    <w:rsid w:val="00637BB6"/>
    <w:rsid w:val="00642916"/>
    <w:rsid w:val="00657B60"/>
    <w:rsid w:val="00664A28"/>
    <w:rsid w:val="00666886"/>
    <w:rsid w:val="00666EFB"/>
    <w:rsid w:val="00667C53"/>
    <w:rsid w:val="0069084E"/>
    <w:rsid w:val="006D3A85"/>
    <w:rsid w:val="006E027C"/>
    <w:rsid w:val="006E5DD9"/>
    <w:rsid w:val="006E6808"/>
    <w:rsid w:val="00706DA6"/>
    <w:rsid w:val="0072501D"/>
    <w:rsid w:val="00730250"/>
    <w:rsid w:val="00740147"/>
    <w:rsid w:val="00752262"/>
    <w:rsid w:val="00756CFD"/>
    <w:rsid w:val="0076323B"/>
    <w:rsid w:val="00764599"/>
    <w:rsid w:val="007659F1"/>
    <w:rsid w:val="007674AB"/>
    <w:rsid w:val="00774C18"/>
    <w:rsid w:val="007769EF"/>
    <w:rsid w:val="00784985"/>
    <w:rsid w:val="00786873"/>
    <w:rsid w:val="00786977"/>
    <w:rsid w:val="007A46E6"/>
    <w:rsid w:val="007B0072"/>
    <w:rsid w:val="007B549C"/>
    <w:rsid w:val="007C1110"/>
    <w:rsid w:val="007E021E"/>
    <w:rsid w:val="007E246E"/>
    <w:rsid w:val="007E5023"/>
    <w:rsid w:val="007F169D"/>
    <w:rsid w:val="00803E9E"/>
    <w:rsid w:val="00804C21"/>
    <w:rsid w:val="008361E6"/>
    <w:rsid w:val="0084533B"/>
    <w:rsid w:val="008475BB"/>
    <w:rsid w:val="00862673"/>
    <w:rsid w:val="00862D3B"/>
    <w:rsid w:val="00872314"/>
    <w:rsid w:val="008827F5"/>
    <w:rsid w:val="00883676"/>
    <w:rsid w:val="008922AE"/>
    <w:rsid w:val="00894C05"/>
    <w:rsid w:val="0089521A"/>
    <w:rsid w:val="00896071"/>
    <w:rsid w:val="00896AA5"/>
    <w:rsid w:val="008A1EA3"/>
    <w:rsid w:val="008A22E3"/>
    <w:rsid w:val="008B3FC6"/>
    <w:rsid w:val="008B7938"/>
    <w:rsid w:val="008C22FB"/>
    <w:rsid w:val="008D15A2"/>
    <w:rsid w:val="008D1B17"/>
    <w:rsid w:val="008D6F99"/>
    <w:rsid w:val="008E0C13"/>
    <w:rsid w:val="008E3535"/>
    <w:rsid w:val="008E5434"/>
    <w:rsid w:val="008F095C"/>
    <w:rsid w:val="008F4A69"/>
    <w:rsid w:val="0090737A"/>
    <w:rsid w:val="00925818"/>
    <w:rsid w:val="00925849"/>
    <w:rsid w:val="00927B54"/>
    <w:rsid w:val="0093290E"/>
    <w:rsid w:val="0094462B"/>
    <w:rsid w:val="009735F8"/>
    <w:rsid w:val="0097406D"/>
    <w:rsid w:val="00984707"/>
    <w:rsid w:val="00984E3D"/>
    <w:rsid w:val="009A45B4"/>
    <w:rsid w:val="009B3BB3"/>
    <w:rsid w:val="009B4000"/>
    <w:rsid w:val="009C1793"/>
    <w:rsid w:val="009C2CCE"/>
    <w:rsid w:val="009C308C"/>
    <w:rsid w:val="009C58CD"/>
    <w:rsid w:val="009D202C"/>
    <w:rsid w:val="009D3CDF"/>
    <w:rsid w:val="009E6A46"/>
    <w:rsid w:val="009F6B62"/>
    <w:rsid w:val="00A02B15"/>
    <w:rsid w:val="00A0323C"/>
    <w:rsid w:val="00A044F2"/>
    <w:rsid w:val="00A0627A"/>
    <w:rsid w:val="00A16243"/>
    <w:rsid w:val="00A2054F"/>
    <w:rsid w:val="00A32E04"/>
    <w:rsid w:val="00A35DC6"/>
    <w:rsid w:val="00A41E5F"/>
    <w:rsid w:val="00A77165"/>
    <w:rsid w:val="00A85037"/>
    <w:rsid w:val="00A949DE"/>
    <w:rsid w:val="00A94DC0"/>
    <w:rsid w:val="00AA42FA"/>
    <w:rsid w:val="00AC6098"/>
    <w:rsid w:val="00AD36A2"/>
    <w:rsid w:val="00AE134D"/>
    <w:rsid w:val="00AE4043"/>
    <w:rsid w:val="00AF51DA"/>
    <w:rsid w:val="00B019AF"/>
    <w:rsid w:val="00B11DC4"/>
    <w:rsid w:val="00B13B15"/>
    <w:rsid w:val="00B14F82"/>
    <w:rsid w:val="00B35C1C"/>
    <w:rsid w:val="00B36AA2"/>
    <w:rsid w:val="00B423D2"/>
    <w:rsid w:val="00B476F3"/>
    <w:rsid w:val="00B54D35"/>
    <w:rsid w:val="00BA31C3"/>
    <w:rsid w:val="00BB7659"/>
    <w:rsid w:val="00BB7EF3"/>
    <w:rsid w:val="00BD6ABF"/>
    <w:rsid w:val="00BD6C41"/>
    <w:rsid w:val="00BE1385"/>
    <w:rsid w:val="00BE5DB3"/>
    <w:rsid w:val="00BF1395"/>
    <w:rsid w:val="00BF16D2"/>
    <w:rsid w:val="00C33E17"/>
    <w:rsid w:val="00C53D10"/>
    <w:rsid w:val="00C55306"/>
    <w:rsid w:val="00C56EE4"/>
    <w:rsid w:val="00C63683"/>
    <w:rsid w:val="00C636F5"/>
    <w:rsid w:val="00C94CBA"/>
    <w:rsid w:val="00CA304A"/>
    <w:rsid w:val="00CC4AAB"/>
    <w:rsid w:val="00CC7588"/>
    <w:rsid w:val="00CD6D65"/>
    <w:rsid w:val="00D0200B"/>
    <w:rsid w:val="00D120A0"/>
    <w:rsid w:val="00D60AF4"/>
    <w:rsid w:val="00D71635"/>
    <w:rsid w:val="00D73253"/>
    <w:rsid w:val="00D73AF9"/>
    <w:rsid w:val="00D87DB7"/>
    <w:rsid w:val="00DA5651"/>
    <w:rsid w:val="00DB0633"/>
    <w:rsid w:val="00DB2143"/>
    <w:rsid w:val="00DB27CF"/>
    <w:rsid w:val="00DC58C6"/>
    <w:rsid w:val="00DD604A"/>
    <w:rsid w:val="00DE1CBF"/>
    <w:rsid w:val="00DF1270"/>
    <w:rsid w:val="00DF26E3"/>
    <w:rsid w:val="00E01F74"/>
    <w:rsid w:val="00E05D25"/>
    <w:rsid w:val="00E113E3"/>
    <w:rsid w:val="00E16760"/>
    <w:rsid w:val="00E20433"/>
    <w:rsid w:val="00E2191F"/>
    <w:rsid w:val="00E3025A"/>
    <w:rsid w:val="00E3262E"/>
    <w:rsid w:val="00E34A0A"/>
    <w:rsid w:val="00E5547D"/>
    <w:rsid w:val="00E63E44"/>
    <w:rsid w:val="00E77C15"/>
    <w:rsid w:val="00E807F3"/>
    <w:rsid w:val="00E86B39"/>
    <w:rsid w:val="00EB0544"/>
    <w:rsid w:val="00EC38AF"/>
    <w:rsid w:val="00ED572E"/>
    <w:rsid w:val="00ED6AB3"/>
    <w:rsid w:val="00EE71AC"/>
    <w:rsid w:val="00EF35CE"/>
    <w:rsid w:val="00F05F38"/>
    <w:rsid w:val="00F118BC"/>
    <w:rsid w:val="00F263D0"/>
    <w:rsid w:val="00F3611B"/>
    <w:rsid w:val="00F36F1A"/>
    <w:rsid w:val="00F42932"/>
    <w:rsid w:val="00F65D4A"/>
    <w:rsid w:val="00F6617F"/>
    <w:rsid w:val="00F67483"/>
    <w:rsid w:val="00F83292"/>
    <w:rsid w:val="00F86602"/>
    <w:rsid w:val="00F9767F"/>
    <w:rsid w:val="00FA0DE5"/>
    <w:rsid w:val="00FA1969"/>
    <w:rsid w:val="00FC5905"/>
    <w:rsid w:val="00FD0DEB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447"/>
  <w15:chartTrackingRefBased/>
  <w15:docId w15:val="{E58700FF-C910-4B87-9BCC-DD952CAE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7F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6617F"/>
    <w:pPr>
      <w:keepNext/>
      <w:keepLines/>
      <w:spacing w:before="360" w:after="60" w:line="240" w:lineRule="auto"/>
      <w:outlineLvl w:val="1"/>
    </w:pPr>
    <w:rPr>
      <w:rFonts w:ascii="Cambria" w:eastAsiaTheme="majorEastAsia" w:hAnsi="Cambria" w:cstheme="majorBidi"/>
      <w:caps/>
      <w:color w:val="3377B6"/>
      <w:kern w:val="20"/>
      <w:sz w:val="24"/>
      <w:szCs w:val="20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6617F"/>
    <w:pPr>
      <w:keepNext/>
      <w:keepLines/>
      <w:spacing w:before="200" w:after="0" w:line="288" w:lineRule="auto"/>
      <w:ind w:left="284"/>
      <w:outlineLvl w:val="2"/>
    </w:pPr>
    <w:rPr>
      <w:rFonts w:eastAsiaTheme="majorEastAsia" w:cstheme="majorBidi"/>
      <w:bCs/>
      <w:color w:val="4472C4" w:themeColor="accent1"/>
      <w:kern w:val="2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rsid w:val="00C63683"/>
    <w:pPr>
      <w:spacing w:before="40" w:line="288" w:lineRule="auto"/>
      <w:ind w:left="720"/>
      <w:contextualSpacing/>
    </w:pPr>
    <w:rPr>
      <w:color w:val="595959" w:themeColor="text1" w:themeTint="A6"/>
      <w:kern w:val="20"/>
      <w:sz w:val="24"/>
      <w:szCs w:val="20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9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90F"/>
    <w:rPr>
      <w:rFonts w:ascii="Consolas" w:hAnsi="Consolas"/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1"/>
    <w:rsid w:val="00F6617F"/>
    <w:rPr>
      <w:rFonts w:ascii="Cambria" w:eastAsiaTheme="majorEastAsia" w:hAnsi="Cambria" w:cstheme="majorBidi"/>
      <w:caps/>
      <w:color w:val="3377B6"/>
      <w:kern w:val="20"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F6617F"/>
    <w:rPr>
      <w:rFonts w:eastAsiaTheme="majorEastAsia" w:cstheme="majorBidi"/>
      <w:bCs/>
      <w:color w:val="4472C4" w:themeColor="accent1"/>
      <w:kern w:val="20"/>
      <w:sz w:val="2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53B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styleId="Hyperlink">
    <w:name w:val="Hyperlink"/>
    <w:basedOn w:val="DefaultParagraphFont"/>
    <w:uiPriority w:val="99"/>
    <w:unhideWhenUsed/>
    <w:rsid w:val="00053B4C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922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AE"/>
    <w:pPr>
      <w:spacing w:before="40" w:after="0" w:line="240" w:lineRule="auto"/>
    </w:pPr>
    <w:rPr>
      <w:color w:val="595959" w:themeColor="text1" w:themeTint="A6"/>
      <w:kern w:val="20"/>
      <w:sz w:val="2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AE"/>
    <w:rPr>
      <w:color w:val="595959" w:themeColor="text1" w:themeTint="A6"/>
      <w:kern w:val="20"/>
      <w:sz w:val="24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51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517F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19517F"/>
    <w:rPr>
      <w:vertAlign w:val="superscript"/>
    </w:rPr>
  </w:style>
  <w:style w:type="paragraph" w:customStyle="1" w:styleId="Standard">
    <w:name w:val="Standard"/>
    <w:rsid w:val="001F4B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hr-H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F5"/>
    <w:rPr>
      <w:rFonts w:ascii="Segoe UI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rsid w:val="00BB7659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19"/>
    <w:rsid w:val="00BB7659"/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val="hr-HR" w:eastAsia="ja-JP"/>
    </w:rPr>
  </w:style>
  <w:style w:type="paragraph" w:styleId="NoSpacing">
    <w:name w:val="No Spacing"/>
    <w:link w:val="NoSpacingChar"/>
    <w:uiPriority w:val="1"/>
    <w:qFormat/>
    <w:rsid w:val="0098470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4707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054501"/>
    <w:pPr>
      <w:spacing w:before="40" w:line="240" w:lineRule="auto"/>
    </w:pPr>
    <w:rPr>
      <w:b/>
      <w:bCs/>
      <w:color w:val="4472C4" w:themeColor="accent1"/>
      <w:kern w:val="20"/>
      <w:sz w:val="18"/>
      <w:szCs w:val="20"/>
      <w:lang w:val="en-US" w:eastAsia="ja-JP"/>
    </w:rPr>
  </w:style>
  <w:style w:type="table" w:styleId="TableGrid">
    <w:name w:val="Table Grid"/>
    <w:basedOn w:val="TableNormal"/>
    <w:uiPriority w:val="39"/>
    <w:rsid w:val="0005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6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60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86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7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77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01_11_109.html" TargetMode="Externa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2_01_11_110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narodne-novine.nn.hr/clanci/sluzbeni/2017_03_20_478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4_04_44_818.html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Tablica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DF-4821-9267-A16B9DEAB7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DF-4821-9267-A16B9DEAB7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DF-4821-9267-A16B9DEAB7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ADF-4821-9267-A16B9DEAB7F3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DF-4821-9267-A16B9DEAB7F3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DF-4821-9267-A16B9DEAB7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Individualne izvozne dozvole </c:v>
                </c:pt>
                <c:pt idx="1">
                  <c:v>Globalne izvozne dozvole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87-4ADE-BC87-0829CC085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16853145960921551"/>
          <c:y val="0.9092257217847769"/>
          <c:w val="0.5680296733741615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Tablica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A-4232-B280-E5FE11B3DE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A-4232-B280-E5FE11B3DE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A-4232-B280-E5FE11B3DE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A-4232-B280-E5FE11B3DE4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DA-4232-B280-E5FE11B3DE4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4DA-4232-B280-E5FE11B3DE4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4DA-4232-B280-E5FE11B3DE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Kategorija 1</c:v>
                </c:pt>
                <c:pt idx="1">
                  <c:v>Kategorija 2</c:v>
                </c:pt>
                <c:pt idx="2">
                  <c:v>Kategorija 5</c:v>
                </c:pt>
                <c:pt idx="3">
                  <c:v>Kategorija 6</c:v>
                </c:pt>
                <c:pt idx="4">
                  <c:v>Kategorija 9</c:v>
                </c:pt>
                <c:pt idx="5">
                  <c:v>Prilog V.a </c:v>
                </c:pt>
                <c:pt idx="6">
                  <c:v>Catch - all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</c:v>
                </c:pt>
                <c:pt idx="1">
                  <c:v>12</c:v>
                </c:pt>
                <c:pt idx="2">
                  <c:v>13</c:v>
                </c:pt>
                <c:pt idx="3">
                  <c:v>1</c:v>
                </c:pt>
                <c:pt idx="4">
                  <c:v>2</c:v>
                </c:pt>
                <c:pt idx="5">
                  <c:v>14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55-4971-8AF5-67B05751B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Vrijednost odobrenih dozvola</a:t>
            </a:r>
            <a:r>
              <a:rPr lang="hr-HR"/>
              <a:t> u 2022. iz Tablice 3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Vrijednost odobrenih dozvola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34-47C4-9F71-2D44EB775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34-47C4-9F71-2D44EB775E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34-47C4-9F71-2D44EB775E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B34-47C4-9F71-2D44EB775E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B34-47C4-9F71-2D44EB775E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B34-47C4-9F71-2D44EB775E7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B34-47C4-9F71-2D44EB775E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Kategorija 1</c:v>
                </c:pt>
                <c:pt idx="1">
                  <c:v>Kategorija 2</c:v>
                </c:pt>
                <c:pt idx="2">
                  <c:v>Kategorija 5</c:v>
                </c:pt>
                <c:pt idx="3">
                  <c:v>Kategorija 6</c:v>
                </c:pt>
                <c:pt idx="4">
                  <c:v>Kategorija 9</c:v>
                </c:pt>
                <c:pt idx="5">
                  <c:v>Prilog V.a</c:v>
                </c:pt>
                <c:pt idx="6">
                  <c:v>Catch - all </c:v>
                </c:pt>
              </c:strCache>
            </c:strRef>
          </c:cat>
          <c:val>
            <c:numRef>
              <c:f>Sheet1!$B$2:$B$8</c:f>
              <c:numCache>
                <c:formatCode>#,##0.00</c:formatCode>
                <c:ptCount val="7"/>
                <c:pt idx="0">
                  <c:v>592797.01</c:v>
                </c:pt>
                <c:pt idx="1">
                  <c:v>3202708.26</c:v>
                </c:pt>
                <c:pt idx="2">
                  <c:v>1370188.96</c:v>
                </c:pt>
                <c:pt idx="3">
                  <c:v>4190</c:v>
                </c:pt>
                <c:pt idx="4">
                  <c:v>2290160</c:v>
                </c:pt>
                <c:pt idx="5">
                  <c:v>13365448.970000001</c:v>
                </c:pt>
                <c:pt idx="6">
                  <c:v>4377310.0599999996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B34-47C4-9F71-2D44EB775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Vrijednost realiziranih dozvola u 2022.</a:t>
            </a:r>
            <a:r>
              <a:rPr lang="hr-HR"/>
              <a:t> iz Tablice 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Vrijednost realiziranih dozvola u 2022.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54-45A2-9425-B302146313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54-45A2-9425-B302146313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54-45A2-9425-B302146313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F54-45A2-9425-B3021463134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F54-45A2-9425-B3021463134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F54-45A2-9425-B3021463134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F54-45A2-9425-B30214631346}"/>
              </c:ext>
            </c:extLst>
          </c:dPt>
          <c:dLbls>
            <c:dLbl>
              <c:idx val="4"/>
              <c:layout>
                <c:manualLayout>
                  <c:x val="7.5282297700641785E-17"/>
                  <c:y val="4.60741025148780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F54-45A2-9425-B302146313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Kategorija 1</c:v>
                </c:pt>
                <c:pt idx="1">
                  <c:v>Kategorija 2</c:v>
                </c:pt>
                <c:pt idx="2">
                  <c:v>Kategorija 5</c:v>
                </c:pt>
                <c:pt idx="3">
                  <c:v>Kategorija 6</c:v>
                </c:pt>
                <c:pt idx="4">
                  <c:v>Kategorija 9</c:v>
                </c:pt>
                <c:pt idx="5">
                  <c:v> Prilog V.a</c:v>
                </c:pt>
                <c:pt idx="6">
                  <c:v>Catch all </c:v>
                </c:pt>
              </c:strCache>
            </c:strRef>
          </c:cat>
          <c:val>
            <c:numRef>
              <c:f>Sheet1!$B$2:$B$8</c:f>
              <c:numCache>
                <c:formatCode>#,##0.00</c:formatCode>
                <c:ptCount val="7"/>
                <c:pt idx="0">
                  <c:v>32688.66</c:v>
                </c:pt>
                <c:pt idx="1">
                  <c:v>956622</c:v>
                </c:pt>
                <c:pt idx="2">
                  <c:v>141269.59</c:v>
                </c:pt>
                <c:pt idx="3">
                  <c:v>2721.7</c:v>
                </c:pt>
                <c:pt idx="4">
                  <c:v>50000</c:v>
                </c:pt>
                <c:pt idx="5">
                  <c:v>457511.29</c:v>
                </c:pt>
                <c:pt idx="6">
                  <c:v>1994530.06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6B-4B96-849A-C8BD41567A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Kategorija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2">
                  <c:v>12</c:v>
                </c:pt>
                <c:pt idx="6">
                  <c:v>1</c:v>
                </c:pt>
                <c:pt idx="7">
                  <c:v>1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C6-42D2-AB33-3ADDC8F5598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Kategorija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C6-42D2-AB33-3ADDC8F5598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Kategorija 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</c:v>
                </c:pt>
                <c:pt idx="2">
                  <c:v>5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C6-42D2-AB33-3ADDC8F5598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Kategorija 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C6-42D2-AB33-3ADDC8F5598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Kategorija 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C6-42D2-AB33-3ADDC8F5598E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Catch all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Sheet1!$G$2:$G$13</c:f>
              <c:numCache>
                <c:formatCode>General</c:formatCode>
                <c:ptCount val="12"/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C6-42D2-AB33-3ADDC8F5598E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Prilog V.a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Srbija</c:v>
                </c:pt>
                <c:pt idx="1">
                  <c:v>Bjelarus</c:v>
                </c:pt>
                <c:pt idx="2">
                  <c:v>Bosna i Hercegovina</c:v>
                </c:pt>
                <c:pt idx="3">
                  <c:v>Turska</c:v>
                </c:pt>
                <c:pt idx="4">
                  <c:v>Kina </c:v>
                </c:pt>
                <c:pt idx="5">
                  <c:v>Pakistan</c:v>
                </c:pt>
                <c:pt idx="6">
                  <c:v>Kosovo </c:v>
                </c:pt>
                <c:pt idx="7">
                  <c:v>Albanija </c:v>
                </c:pt>
                <c:pt idx="8">
                  <c:v>Brazil </c:v>
                </c:pt>
                <c:pt idx="9">
                  <c:v>Kuba</c:v>
                </c:pt>
                <c:pt idx="10">
                  <c:v>Ujedinjeno Kraljevstvo</c:v>
                </c:pt>
              </c:strCache>
            </c:strRef>
          </c:cat>
          <c:val>
            <c:numRef>
              <c:f>Sheet1!$H$2:$H$13</c:f>
              <c:numCache>
                <c:formatCode>General</c:formatCode>
                <c:ptCount val="12"/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C6-42D2-AB33-3ADDC8F55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9732080"/>
        <c:axId val="889731424"/>
      </c:barChart>
      <c:catAx>
        <c:axId val="88973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9731424"/>
        <c:crosses val="autoZero"/>
        <c:auto val="1"/>
        <c:lblAlgn val="ctr"/>
        <c:lblOffset val="100"/>
        <c:noMultiLvlLbl val="0"/>
      </c:catAx>
      <c:valAx>
        <c:axId val="88973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973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27A4-FE70-4C69-B9CA-8F488ADC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4287</Words>
  <Characters>24436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Silvija Šplajt</cp:lastModifiedBy>
  <cp:revision>19</cp:revision>
  <dcterms:created xsi:type="dcterms:W3CDTF">2023-04-05T08:27:00Z</dcterms:created>
  <dcterms:modified xsi:type="dcterms:W3CDTF">2023-04-18T09:17:00Z</dcterms:modified>
</cp:coreProperties>
</file>